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2D0" w:rsidRPr="000A64D8" w:rsidRDefault="00C112D0" w:rsidP="00C112D0">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1718390</w:t>
      </w:r>
    </w:p>
    <w:p w:rsidR="00C112D0" w:rsidRPr="00FD021C" w:rsidRDefault="00C112D0" w:rsidP="00C112D0">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C112D0" w:rsidRDefault="00C112D0" w:rsidP="00C112D0">
      <w:pPr>
        <w:pStyle w:val="Footer"/>
        <w:jc w:val="both"/>
        <w:rPr>
          <w:rFonts w:cs="Arial"/>
          <w:sz w:val="24"/>
          <w:szCs w:val="24"/>
        </w:rPr>
      </w:pPr>
      <w:r>
        <w:rPr>
          <w:rFonts w:cs="Arial"/>
          <w:sz w:val="24"/>
          <w:szCs w:val="24"/>
        </w:rPr>
        <w:t>Prague, Czech Republic</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41D34">
        <w:rPr>
          <w:rFonts w:ascii="Arial" w:hAnsi="Arial"/>
          <w:sz w:val="24"/>
        </w:rPr>
        <w:t>7</w:t>
      </w:r>
      <w:r w:rsidR="009338D5" w:rsidRPr="009338D5">
        <w:rPr>
          <w:rFonts w:ascii="Arial" w:hAnsi="Arial"/>
          <w:sz w:val="24"/>
        </w:rPr>
        <w:t>.2.2.5</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41D34" w:rsidRPr="00341D34">
        <w:rPr>
          <w:rFonts w:ascii="Arial" w:hAnsi="Arial"/>
          <w:sz w:val="22"/>
        </w:rPr>
        <w:t>On Adaptive CQI and MCS Table configuration for NR</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B35C08" w:rsidRDefault="008C7323" w:rsidP="00157AA0">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7AA0">
        <w:rPr>
          <w:sz w:val="24"/>
          <w:szCs w:val="24"/>
        </w:rPr>
        <w:t xml:space="preserve"> Similar to LTE, closed loop techniques for indicating channel quality and modulation and coding scheme for data transmission are used for NR. </w:t>
      </w:r>
      <w:r w:rsidR="00B35C08">
        <w:rPr>
          <w:sz w:val="24"/>
          <w:szCs w:val="24"/>
        </w:rPr>
        <w:t xml:space="preserve"> Regarding CQI and MCS tables configurations, the following agreements were during the previous RAN1 meeting.</w:t>
      </w:r>
    </w:p>
    <w:p w:rsidR="00B35C08" w:rsidRPr="00B35C08" w:rsidRDefault="00B35C08" w:rsidP="00B35C08">
      <w:pPr>
        <w:rPr>
          <w:b/>
          <w:sz w:val="24"/>
          <w:u w:val="single"/>
          <w:lang w:eastAsia="x-none"/>
        </w:rPr>
      </w:pPr>
      <w:r w:rsidRPr="00B35C08">
        <w:rPr>
          <w:b/>
          <w:sz w:val="24"/>
          <w:highlight w:val="green"/>
          <w:u w:val="single"/>
          <w:lang w:eastAsia="x-none"/>
        </w:rPr>
        <w:t>Agreement:</w:t>
      </w:r>
    </w:p>
    <w:p w:rsidR="00B35C08" w:rsidRPr="00DC29F0" w:rsidRDefault="00B35C08" w:rsidP="00B35C08">
      <w:pPr>
        <w:rPr>
          <w:lang w:eastAsia="x-none"/>
        </w:rPr>
      </w:pPr>
      <w:bookmarkStart w:id="2" w:name="_Hlk493694228"/>
      <w:r w:rsidRPr="00DC29F0">
        <w:rPr>
          <w:lang w:eastAsia="x-none"/>
        </w:rPr>
        <w:t>Different CQI tables can be configured to a UE at least in order to support different maximum order of modulations</w:t>
      </w:r>
    </w:p>
    <w:bookmarkEnd w:id="2"/>
    <w:p w:rsidR="00B35C08" w:rsidRPr="00DC29F0" w:rsidRDefault="00B35C08" w:rsidP="00B35C08">
      <w:pPr>
        <w:numPr>
          <w:ilvl w:val="0"/>
          <w:numId w:val="16"/>
        </w:numPr>
        <w:tabs>
          <w:tab w:val="left" w:pos="1440"/>
        </w:tabs>
        <w:overflowPunct/>
        <w:autoSpaceDE/>
        <w:autoSpaceDN/>
        <w:adjustRightInd/>
        <w:spacing w:after="0"/>
        <w:textAlignment w:val="auto"/>
        <w:rPr>
          <w:bCs/>
          <w:lang w:eastAsia="x-none"/>
        </w:rPr>
      </w:pPr>
      <w:r w:rsidRPr="00DC29F0">
        <w:rPr>
          <w:bCs/>
          <w:lang w:eastAsia="x-none"/>
        </w:rPr>
        <w:t>FFS: Whether the different CQI tables should consider minimum coding rate</w:t>
      </w:r>
    </w:p>
    <w:p w:rsidR="00B35C08" w:rsidRDefault="00B35C08" w:rsidP="00157AA0">
      <w:pPr>
        <w:jc w:val="both"/>
        <w:rPr>
          <w:rFonts w:eastAsia="MS Mincho"/>
          <w:sz w:val="24"/>
          <w:szCs w:val="24"/>
          <w:lang w:eastAsia="ja-JP"/>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CQI and MCS indication for NR. </w:t>
      </w:r>
    </w:p>
    <w:p w:rsidR="001D7377" w:rsidRDefault="00AD72BC" w:rsidP="001D7377">
      <w:pPr>
        <w:pStyle w:val="Heading1"/>
      </w:pPr>
      <w:r>
        <w:t xml:space="preserve"> </w:t>
      </w:r>
      <w:r w:rsidR="00087DB5">
        <w:t xml:space="preserve">Configuration of CQI Tables </w:t>
      </w:r>
    </w:p>
    <w:p w:rsidR="007A0FD9" w:rsidRPr="007A0FD9" w:rsidRDefault="007A0FD9" w:rsidP="007A0FD9">
      <w:pPr>
        <w:pStyle w:val="Heading3"/>
        <w:numPr>
          <w:ilvl w:val="0"/>
          <w:numId w:val="0"/>
        </w:numPr>
        <w:spacing w:before="480"/>
        <w:jc w:val="both"/>
        <w:rPr>
          <w:rFonts w:ascii="Times New Roman" w:eastAsia="Times New Roman" w:hAnsi="Times New Roman"/>
          <w:color w:val="222222"/>
        </w:rPr>
      </w:pPr>
      <w:bookmarkStart w:id="3" w:name="_Ref378529477"/>
      <w:r w:rsidRPr="007A0FD9">
        <w:rPr>
          <w:rFonts w:ascii="Times New Roman" w:hAnsi="Times New Roman"/>
          <w:color w:val="000000"/>
          <w:sz w:val="24"/>
          <w:szCs w:val="24"/>
        </w:rPr>
        <w:t>Since it is already decided to support multiple CQI tables to a UE for supporting different maximum order of modulation, we envision two design options. NR should follow the similar procedures as that of LTE.  i.e. one table is supporting up to 64 QAM and another table to support up to 256 QAM. </w:t>
      </w:r>
      <w:r w:rsidR="008F6D47">
        <w:rPr>
          <w:rFonts w:ascii="Times New Roman" w:hAnsi="Times New Roman"/>
          <w:color w:val="000000"/>
          <w:sz w:val="24"/>
          <w:szCs w:val="24"/>
        </w:rPr>
        <w:t xml:space="preserve"> We prefer to have same 4 bits can be used for both the tables.</w:t>
      </w:r>
      <w:r w:rsidRPr="007A0FD9">
        <w:rPr>
          <w:rFonts w:ascii="Times New Roman" w:hAnsi="Times New Roman"/>
          <w:color w:val="000000"/>
          <w:sz w:val="24"/>
          <w:szCs w:val="24"/>
        </w:rPr>
        <w:t xml:space="preserve"> Note that these tables are for applicable for eMBB. For other application scenarios such as URLLC, we envision different maximum order</w:t>
      </w:r>
      <w:r w:rsidR="008F6D47">
        <w:rPr>
          <w:rFonts w:ascii="Times New Roman" w:hAnsi="Times New Roman"/>
          <w:color w:val="000000"/>
          <w:sz w:val="24"/>
          <w:szCs w:val="24"/>
        </w:rPr>
        <w:t xml:space="preserve"> different granularity</w:t>
      </w:r>
      <w:r w:rsidRPr="007A0FD9">
        <w:rPr>
          <w:rFonts w:ascii="Times New Roman" w:hAnsi="Times New Roman"/>
          <w:color w:val="000000"/>
          <w:sz w:val="24"/>
          <w:szCs w:val="24"/>
        </w:rPr>
        <w:t xml:space="preserve"> can be applied.  Based on these aspects we propose that</w:t>
      </w:r>
    </w:p>
    <w:p w:rsidR="00087DB5" w:rsidRDefault="00087DB5" w:rsidP="00087DB5">
      <w:pPr>
        <w:jc w:val="both"/>
        <w:rPr>
          <w:b/>
          <w:sz w:val="24"/>
          <w:szCs w:val="24"/>
        </w:rPr>
      </w:pPr>
      <w:r>
        <w:rPr>
          <w:b/>
          <w:sz w:val="24"/>
          <w:szCs w:val="24"/>
        </w:rPr>
        <w:t>Proposal 1</w:t>
      </w:r>
      <w:r w:rsidRPr="005C1BF7">
        <w:rPr>
          <w:b/>
          <w:sz w:val="24"/>
          <w:szCs w:val="24"/>
        </w:rPr>
        <w:t xml:space="preserve">: </w:t>
      </w:r>
      <w:r>
        <w:rPr>
          <w:b/>
          <w:sz w:val="24"/>
          <w:szCs w:val="24"/>
        </w:rPr>
        <w:t xml:space="preserve"> </w:t>
      </w:r>
      <w:r w:rsidR="00EC7A08">
        <w:rPr>
          <w:b/>
          <w:sz w:val="24"/>
          <w:szCs w:val="24"/>
        </w:rPr>
        <w:t>At least f</w:t>
      </w:r>
      <w:r>
        <w:rPr>
          <w:b/>
          <w:sz w:val="24"/>
          <w:szCs w:val="24"/>
        </w:rPr>
        <w:t>or eMBB</w:t>
      </w:r>
      <w:r w:rsidR="00EC7A08">
        <w:rPr>
          <w:b/>
          <w:sz w:val="24"/>
          <w:szCs w:val="24"/>
        </w:rPr>
        <w:t xml:space="preserve"> applications, </w:t>
      </w:r>
      <w:r>
        <w:rPr>
          <w:b/>
          <w:sz w:val="24"/>
          <w:szCs w:val="24"/>
        </w:rPr>
        <w:t xml:space="preserve">UE </w:t>
      </w:r>
      <w:r w:rsidR="00EC7A08">
        <w:rPr>
          <w:b/>
          <w:sz w:val="24"/>
          <w:szCs w:val="24"/>
        </w:rPr>
        <w:t xml:space="preserve">can be </w:t>
      </w:r>
      <w:r w:rsidR="007A0FD9">
        <w:rPr>
          <w:b/>
          <w:sz w:val="24"/>
          <w:szCs w:val="24"/>
        </w:rPr>
        <w:t xml:space="preserve">configured with </w:t>
      </w:r>
      <w:r w:rsidR="00EC7A08">
        <w:rPr>
          <w:b/>
          <w:sz w:val="24"/>
          <w:szCs w:val="24"/>
        </w:rPr>
        <w:t>either CQI Table 1 or CQI Table 2</w:t>
      </w:r>
      <w:r w:rsidR="005C7FD4">
        <w:rPr>
          <w:b/>
          <w:sz w:val="24"/>
          <w:szCs w:val="24"/>
        </w:rPr>
        <w:t>, where</w:t>
      </w:r>
      <w:r>
        <w:rPr>
          <w:b/>
          <w:sz w:val="24"/>
          <w:szCs w:val="24"/>
        </w:rPr>
        <w:t xml:space="preserve"> the CQI table 1 </w:t>
      </w:r>
      <w:r w:rsidR="00EC7A08">
        <w:rPr>
          <w:b/>
          <w:sz w:val="24"/>
          <w:szCs w:val="24"/>
        </w:rPr>
        <w:t xml:space="preserve">is </w:t>
      </w:r>
      <w:r>
        <w:rPr>
          <w:b/>
          <w:sz w:val="24"/>
          <w:szCs w:val="24"/>
        </w:rPr>
        <w:t xml:space="preserve">corresponding </w:t>
      </w:r>
      <w:r w:rsidR="00EC7A08">
        <w:rPr>
          <w:b/>
          <w:sz w:val="24"/>
          <w:szCs w:val="24"/>
        </w:rPr>
        <w:t xml:space="preserve">to </w:t>
      </w:r>
      <w:r>
        <w:rPr>
          <w:b/>
          <w:sz w:val="24"/>
          <w:szCs w:val="24"/>
        </w:rPr>
        <w:t>the maximum modulation</w:t>
      </w:r>
      <w:r w:rsidR="00EC7A08">
        <w:rPr>
          <w:b/>
          <w:sz w:val="24"/>
          <w:szCs w:val="24"/>
        </w:rPr>
        <w:t xml:space="preserve"> of</w:t>
      </w:r>
      <w:r>
        <w:rPr>
          <w:b/>
          <w:sz w:val="24"/>
          <w:szCs w:val="24"/>
        </w:rPr>
        <w:t xml:space="preserve"> 64 QAM and the CQI table 2 corresponds to the </w:t>
      </w:r>
      <w:r w:rsidR="00EC7A08">
        <w:rPr>
          <w:b/>
          <w:sz w:val="24"/>
          <w:szCs w:val="24"/>
        </w:rPr>
        <w:t>maximum modulation of 256 QAM</w:t>
      </w:r>
    </w:p>
    <w:p w:rsidR="00087DB5" w:rsidRPr="005C7FD4" w:rsidRDefault="005C7FD4" w:rsidP="005C7FD4">
      <w:pPr>
        <w:jc w:val="both"/>
        <w:rPr>
          <w:sz w:val="24"/>
        </w:rPr>
      </w:pPr>
      <w:r w:rsidRPr="005C7FD4">
        <w:rPr>
          <w:sz w:val="24"/>
        </w:rPr>
        <w:t xml:space="preserve">Since the two tables are used for different purposes, we prefer to have minimum code rate of CQI Table 1 should be </w:t>
      </w:r>
      <w:r>
        <w:rPr>
          <w:sz w:val="24"/>
        </w:rPr>
        <w:t xml:space="preserve">different that of CQI Table 2. For example, the CQI table 1 can be applied for coverage limited scenarios and Table 2 can be applied in other cases.  Hence we propose that </w:t>
      </w:r>
    </w:p>
    <w:p w:rsidR="005C7FD4" w:rsidRDefault="005C7FD4" w:rsidP="005C7FD4">
      <w:pPr>
        <w:rPr>
          <w:b/>
          <w:sz w:val="24"/>
          <w:szCs w:val="24"/>
        </w:rPr>
      </w:pPr>
      <w:r>
        <w:rPr>
          <w:b/>
          <w:sz w:val="24"/>
          <w:szCs w:val="24"/>
        </w:rPr>
        <w:t>Proposal 2</w:t>
      </w:r>
      <w:r w:rsidRPr="005C1BF7">
        <w:rPr>
          <w:b/>
          <w:sz w:val="24"/>
          <w:szCs w:val="24"/>
        </w:rPr>
        <w:t xml:space="preserve">: </w:t>
      </w:r>
      <w:r>
        <w:rPr>
          <w:b/>
          <w:sz w:val="24"/>
          <w:szCs w:val="24"/>
        </w:rPr>
        <w:t xml:space="preserve"> The minimum code rate of CQI Tables can be different </w:t>
      </w:r>
    </w:p>
    <w:p w:rsidR="008F6D47" w:rsidRDefault="008F6D47" w:rsidP="008F6D47">
      <w:pPr>
        <w:jc w:val="both"/>
        <w:rPr>
          <w:sz w:val="24"/>
        </w:rPr>
      </w:pPr>
      <w:r>
        <w:rPr>
          <w:sz w:val="24"/>
        </w:rPr>
        <w:t>Regarding the CQI definition for simplicity at least for eMBB applications, we can use LTE type of definition i.e. the SINR corresponding to the 10% Block error rate.  Configurable block error rate can be considered for Release 16 as an enhancement. Hence we propose</w:t>
      </w:r>
    </w:p>
    <w:p w:rsidR="008F6D47" w:rsidRDefault="008F6D47" w:rsidP="008F6D47">
      <w:pPr>
        <w:rPr>
          <w:b/>
          <w:sz w:val="24"/>
          <w:szCs w:val="24"/>
        </w:rPr>
      </w:pPr>
      <w:r>
        <w:rPr>
          <w:b/>
          <w:sz w:val="24"/>
          <w:szCs w:val="24"/>
        </w:rPr>
        <w:lastRenderedPageBreak/>
        <w:t>Proposal 3</w:t>
      </w:r>
      <w:r w:rsidRPr="005C1BF7">
        <w:rPr>
          <w:b/>
          <w:sz w:val="24"/>
          <w:szCs w:val="24"/>
        </w:rPr>
        <w:t xml:space="preserve">: </w:t>
      </w:r>
      <w:r>
        <w:rPr>
          <w:b/>
          <w:sz w:val="24"/>
          <w:szCs w:val="24"/>
        </w:rPr>
        <w:t xml:space="preserve"> The NR CQI definition is same as that of LTE CQI definition</w:t>
      </w:r>
    </w:p>
    <w:p w:rsidR="008F6D47" w:rsidRDefault="007A7857" w:rsidP="005C7FD4">
      <w:pPr>
        <w:rPr>
          <w:b/>
          <w:sz w:val="24"/>
          <w:szCs w:val="24"/>
        </w:rPr>
      </w:pPr>
      <w:r>
        <w:rPr>
          <w:sz w:val="24"/>
        </w:rPr>
        <w:t>Regarding the multi codeword MIMO, we prefer to use two independent CQIs, as a codeword is defined based on an independent CQI, MCS and HARQ process identifier.  Hence independent encoding of CQI is preferred for multi codeword MIMO. Based on this, we propose that</w:t>
      </w:r>
    </w:p>
    <w:p w:rsidR="007A7857" w:rsidRDefault="007A7857" w:rsidP="007A7857">
      <w:pPr>
        <w:rPr>
          <w:b/>
          <w:sz w:val="24"/>
          <w:szCs w:val="24"/>
        </w:rPr>
      </w:pPr>
      <w:r>
        <w:rPr>
          <w:b/>
          <w:sz w:val="24"/>
          <w:szCs w:val="24"/>
        </w:rPr>
        <w:t>Proposal 4</w:t>
      </w:r>
      <w:r w:rsidRPr="005C1BF7">
        <w:rPr>
          <w:b/>
          <w:sz w:val="24"/>
          <w:szCs w:val="24"/>
        </w:rPr>
        <w:t xml:space="preserve">: </w:t>
      </w:r>
      <w:r>
        <w:rPr>
          <w:b/>
          <w:sz w:val="24"/>
          <w:szCs w:val="24"/>
        </w:rPr>
        <w:t xml:space="preserve"> Independent encoding of two CQIs is preferred for multi codeword MIMO </w:t>
      </w:r>
    </w:p>
    <w:p w:rsidR="009C0834" w:rsidRDefault="000462AB" w:rsidP="009C0834">
      <w:pPr>
        <w:pStyle w:val="Heading1"/>
      </w:pPr>
      <w:r>
        <w:t xml:space="preserve">Configuration of MCS </w:t>
      </w:r>
      <w:r w:rsidR="009C0834">
        <w:t>Table</w:t>
      </w:r>
      <w:r>
        <w:t xml:space="preserve"> </w:t>
      </w:r>
    </w:p>
    <w:p w:rsidR="009C0834" w:rsidRPr="009C0834" w:rsidRDefault="009C0834" w:rsidP="009C0834">
      <w:pPr>
        <w:pStyle w:val="BodyText"/>
        <w:rPr>
          <w:rFonts w:ascii="Times New Roman" w:hAnsi="Times New Roman"/>
          <w:color w:val="000000" w:themeColor="text1"/>
          <w:sz w:val="24"/>
        </w:rPr>
      </w:pPr>
      <w:r w:rsidRPr="009C0834">
        <w:rPr>
          <w:rFonts w:ascii="Times New Roman" w:hAnsi="Times New Roman"/>
          <w:color w:val="000000"/>
          <w:sz w:val="24"/>
          <w:szCs w:val="24"/>
        </w:rPr>
        <w:t xml:space="preserve">For MCS table configuration, we prefer to have different MCS table configuration for downlink and uplink. This is because the modulation schemes used for uplink are different based on the waveforms used for data transmission. </w:t>
      </w:r>
      <w:r w:rsidRPr="009C0834">
        <w:rPr>
          <w:rFonts w:ascii="Times New Roman" w:hAnsi="Times New Roman"/>
          <w:color w:val="000000" w:themeColor="text1"/>
          <w:sz w:val="24"/>
        </w:rPr>
        <w:t xml:space="preserve">Table 1 shows the supported modulation schemes for uplink data transmission if transform precoding is applied or not [1].  Observe that the number of modulation schemes are 4 when transform precoding is not applied and is equal to 5 when transform precoding is applied.   </w:t>
      </w:r>
    </w:p>
    <w:p w:rsidR="009C0834" w:rsidRPr="009C0834" w:rsidRDefault="009C0834" w:rsidP="009C0834">
      <w:pPr>
        <w:jc w:val="both"/>
        <w:rPr>
          <w:iCs/>
          <w:sz w:val="24"/>
          <w:lang w:val="en-GB"/>
        </w:rPr>
      </w:pPr>
    </w:p>
    <w:p w:rsidR="009C0834" w:rsidRDefault="009C0834" w:rsidP="009C0834">
      <w:pPr>
        <w:pStyle w:val="TH"/>
      </w:pPr>
      <w:r>
        <w:t>Table 1 Supported modulation schemes for CP-OFDM and DFTsOFDM.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9C0834" w:rsidRPr="00E728CA" w:rsidTr="006E55D1">
        <w:trPr>
          <w:jc w:val="center"/>
        </w:trPr>
        <w:tc>
          <w:tcPr>
            <w:tcW w:w="3118" w:type="dxa"/>
            <w:shd w:val="clear" w:color="auto" w:fill="auto"/>
          </w:tcPr>
          <w:p w:rsidR="009C0834" w:rsidRPr="00E728CA" w:rsidRDefault="009C0834" w:rsidP="006E55D1">
            <w:pPr>
              <w:pStyle w:val="TAH"/>
              <w:rPr>
                <w:rFonts w:eastAsia="Batang"/>
                <w:sz w:val="24"/>
              </w:rPr>
            </w:pPr>
            <w:r w:rsidRPr="00E728CA">
              <w:rPr>
                <w:rFonts w:eastAsia="Batang"/>
                <w:sz w:val="24"/>
              </w:rPr>
              <w:t>Transform precoding disabled</w:t>
            </w:r>
          </w:p>
        </w:tc>
        <w:tc>
          <w:tcPr>
            <w:tcW w:w="2977" w:type="dxa"/>
            <w:shd w:val="clear" w:color="auto" w:fill="auto"/>
          </w:tcPr>
          <w:p w:rsidR="009C0834" w:rsidRPr="00E728CA" w:rsidRDefault="009C0834" w:rsidP="006E55D1">
            <w:pPr>
              <w:pStyle w:val="TAH"/>
              <w:rPr>
                <w:rFonts w:eastAsia="Batang"/>
                <w:sz w:val="24"/>
              </w:rPr>
            </w:pPr>
            <w:r w:rsidRPr="00E728CA">
              <w:rPr>
                <w:rFonts w:eastAsia="Batang"/>
                <w:sz w:val="24"/>
              </w:rPr>
              <w:t>Transform precoding enabled</w:t>
            </w:r>
          </w:p>
        </w:tc>
      </w:tr>
      <w:tr w:rsidR="009C0834" w:rsidRPr="00E728CA" w:rsidTr="006E55D1">
        <w:trPr>
          <w:jc w:val="center"/>
        </w:trPr>
        <w:tc>
          <w:tcPr>
            <w:tcW w:w="3118" w:type="dxa"/>
            <w:shd w:val="clear" w:color="auto" w:fill="auto"/>
          </w:tcPr>
          <w:p w:rsidR="009C0834" w:rsidRPr="00E728CA" w:rsidRDefault="009C0834" w:rsidP="006E55D1">
            <w:pPr>
              <w:pStyle w:val="TAC"/>
              <w:rPr>
                <w:rFonts w:eastAsia="Batang"/>
                <w:sz w:val="24"/>
              </w:rPr>
            </w:pPr>
          </w:p>
        </w:tc>
        <w:tc>
          <w:tcPr>
            <w:tcW w:w="2977" w:type="dxa"/>
            <w:shd w:val="clear" w:color="auto" w:fill="auto"/>
          </w:tcPr>
          <w:p w:rsidR="009C0834" w:rsidRPr="00E728CA" w:rsidRDefault="009C0834" w:rsidP="006E55D1">
            <w:pPr>
              <w:pStyle w:val="TAC"/>
              <w:rPr>
                <w:rFonts w:eastAsia="Batang"/>
                <w:sz w:val="24"/>
              </w:rPr>
            </w:pPr>
            <w:r w:rsidRPr="00E728CA">
              <w:rPr>
                <w:rFonts w:eastAsia="Batang"/>
                <w:sz w:val="24"/>
              </w:rPr>
              <w:t>π/2-BPSK</w:t>
            </w:r>
          </w:p>
        </w:tc>
      </w:tr>
      <w:tr w:rsidR="009C0834" w:rsidRPr="00E728CA" w:rsidTr="006E55D1">
        <w:trPr>
          <w:jc w:val="center"/>
        </w:trPr>
        <w:tc>
          <w:tcPr>
            <w:tcW w:w="3118" w:type="dxa"/>
            <w:shd w:val="clear" w:color="auto" w:fill="auto"/>
          </w:tcPr>
          <w:p w:rsidR="009C0834" w:rsidRPr="00E728CA" w:rsidRDefault="009C0834" w:rsidP="006E55D1">
            <w:pPr>
              <w:pStyle w:val="TAC"/>
              <w:rPr>
                <w:rFonts w:eastAsia="Batang"/>
                <w:sz w:val="24"/>
              </w:rPr>
            </w:pPr>
            <w:r w:rsidRPr="00E728CA">
              <w:rPr>
                <w:rFonts w:eastAsia="Batang"/>
                <w:sz w:val="24"/>
              </w:rPr>
              <w:t>QPSK</w:t>
            </w:r>
          </w:p>
        </w:tc>
        <w:tc>
          <w:tcPr>
            <w:tcW w:w="2977" w:type="dxa"/>
            <w:shd w:val="clear" w:color="auto" w:fill="auto"/>
          </w:tcPr>
          <w:p w:rsidR="009C0834" w:rsidRPr="00E728CA" w:rsidRDefault="009C0834" w:rsidP="006E55D1">
            <w:pPr>
              <w:pStyle w:val="TAC"/>
              <w:rPr>
                <w:rFonts w:eastAsia="Batang"/>
                <w:sz w:val="24"/>
              </w:rPr>
            </w:pPr>
            <w:r w:rsidRPr="00E728CA">
              <w:rPr>
                <w:rFonts w:eastAsia="Batang"/>
                <w:sz w:val="24"/>
              </w:rPr>
              <w:t>QPSK</w:t>
            </w:r>
          </w:p>
        </w:tc>
      </w:tr>
      <w:tr w:rsidR="009C0834" w:rsidRPr="00E728CA" w:rsidTr="006E55D1">
        <w:trPr>
          <w:jc w:val="center"/>
        </w:trPr>
        <w:tc>
          <w:tcPr>
            <w:tcW w:w="3118" w:type="dxa"/>
            <w:shd w:val="clear" w:color="auto" w:fill="auto"/>
          </w:tcPr>
          <w:p w:rsidR="009C0834" w:rsidRPr="00E728CA" w:rsidRDefault="009C0834" w:rsidP="006E55D1">
            <w:pPr>
              <w:pStyle w:val="TAC"/>
              <w:rPr>
                <w:rFonts w:eastAsia="Batang"/>
                <w:sz w:val="24"/>
              </w:rPr>
            </w:pPr>
            <w:r w:rsidRPr="00E728CA">
              <w:rPr>
                <w:rFonts w:eastAsia="Batang"/>
                <w:sz w:val="24"/>
              </w:rPr>
              <w:t>16QAM</w:t>
            </w:r>
          </w:p>
        </w:tc>
        <w:tc>
          <w:tcPr>
            <w:tcW w:w="2977" w:type="dxa"/>
            <w:shd w:val="clear" w:color="auto" w:fill="auto"/>
          </w:tcPr>
          <w:p w:rsidR="009C0834" w:rsidRPr="00E728CA" w:rsidRDefault="009C0834" w:rsidP="006E55D1">
            <w:pPr>
              <w:pStyle w:val="TAC"/>
              <w:rPr>
                <w:rFonts w:eastAsia="Batang"/>
                <w:sz w:val="24"/>
              </w:rPr>
            </w:pPr>
            <w:r w:rsidRPr="00E728CA">
              <w:rPr>
                <w:rFonts w:eastAsia="Batang"/>
                <w:sz w:val="24"/>
              </w:rPr>
              <w:t>16QAM</w:t>
            </w:r>
          </w:p>
        </w:tc>
      </w:tr>
      <w:tr w:rsidR="009C0834" w:rsidRPr="00E728CA" w:rsidTr="006E55D1">
        <w:trPr>
          <w:jc w:val="center"/>
        </w:trPr>
        <w:tc>
          <w:tcPr>
            <w:tcW w:w="3118" w:type="dxa"/>
            <w:shd w:val="clear" w:color="auto" w:fill="auto"/>
          </w:tcPr>
          <w:p w:rsidR="009C0834" w:rsidRPr="00E728CA" w:rsidRDefault="009C0834" w:rsidP="006E55D1">
            <w:pPr>
              <w:pStyle w:val="TAC"/>
              <w:rPr>
                <w:rFonts w:eastAsia="Batang"/>
                <w:sz w:val="24"/>
              </w:rPr>
            </w:pPr>
            <w:r w:rsidRPr="00E728CA">
              <w:rPr>
                <w:rFonts w:eastAsia="Batang"/>
                <w:sz w:val="24"/>
              </w:rPr>
              <w:t>64QAM</w:t>
            </w:r>
          </w:p>
        </w:tc>
        <w:tc>
          <w:tcPr>
            <w:tcW w:w="2977" w:type="dxa"/>
            <w:shd w:val="clear" w:color="auto" w:fill="auto"/>
          </w:tcPr>
          <w:p w:rsidR="009C0834" w:rsidRPr="00E728CA" w:rsidRDefault="009C0834" w:rsidP="006E55D1">
            <w:pPr>
              <w:pStyle w:val="TAC"/>
              <w:rPr>
                <w:rFonts w:eastAsia="Batang"/>
                <w:sz w:val="24"/>
              </w:rPr>
            </w:pPr>
            <w:r w:rsidRPr="00E728CA">
              <w:rPr>
                <w:rFonts w:eastAsia="Batang"/>
                <w:sz w:val="24"/>
              </w:rPr>
              <w:t>64QAM</w:t>
            </w:r>
          </w:p>
        </w:tc>
      </w:tr>
      <w:tr w:rsidR="009C0834" w:rsidRPr="00E728CA" w:rsidTr="006E55D1">
        <w:trPr>
          <w:jc w:val="center"/>
        </w:trPr>
        <w:tc>
          <w:tcPr>
            <w:tcW w:w="3118" w:type="dxa"/>
            <w:shd w:val="clear" w:color="auto" w:fill="auto"/>
          </w:tcPr>
          <w:p w:rsidR="009C0834" w:rsidRPr="00E728CA" w:rsidRDefault="009C0834" w:rsidP="006E55D1">
            <w:pPr>
              <w:pStyle w:val="TAC"/>
              <w:rPr>
                <w:rFonts w:eastAsia="Batang"/>
                <w:sz w:val="24"/>
              </w:rPr>
            </w:pPr>
            <w:r w:rsidRPr="00E728CA">
              <w:rPr>
                <w:rFonts w:eastAsia="Batang"/>
                <w:sz w:val="24"/>
              </w:rPr>
              <w:t>256QAM</w:t>
            </w:r>
          </w:p>
        </w:tc>
        <w:tc>
          <w:tcPr>
            <w:tcW w:w="2977" w:type="dxa"/>
            <w:shd w:val="clear" w:color="auto" w:fill="auto"/>
          </w:tcPr>
          <w:p w:rsidR="009C0834" w:rsidRPr="00E728CA" w:rsidRDefault="009C0834" w:rsidP="006E55D1">
            <w:pPr>
              <w:pStyle w:val="TAC"/>
              <w:rPr>
                <w:rFonts w:eastAsia="Batang"/>
                <w:sz w:val="24"/>
              </w:rPr>
            </w:pPr>
            <w:r w:rsidRPr="00E728CA">
              <w:rPr>
                <w:rFonts w:eastAsia="Batang"/>
                <w:sz w:val="24"/>
              </w:rPr>
              <w:t>256QAM</w:t>
            </w:r>
          </w:p>
        </w:tc>
      </w:tr>
    </w:tbl>
    <w:p w:rsidR="009C0834" w:rsidRDefault="009C0834" w:rsidP="009C0834">
      <w:pPr>
        <w:pStyle w:val="BodyText"/>
        <w:rPr>
          <w:color w:val="000000" w:themeColor="text1"/>
          <w:sz w:val="24"/>
        </w:rPr>
      </w:pPr>
    </w:p>
    <w:p w:rsidR="009C0834" w:rsidRDefault="009C0834" w:rsidP="009C0834">
      <w:pPr>
        <w:pStyle w:val="BodyText"/>
        <w:rPr>
          <w:color w:val="000000" w:themeColor="text1"/>
          <w:sz w:val="24"/>
        </w:rPr>
      </w:pPr>
    </w:p>
    <w:p w:rsidR="009C0834" w:rsidRDefault="009C0834" w:rsidP="009C0834">
      <w:pPr>
        <w:pStyle w:val="BodyText"/>
        <w:rPr>
          <w:rFonts w:ascii="Times New Roman" w:hAnsi="Times New Roman"/>
          <w:sz w:val="24"/>
          <w:szCs w:val="28"/>
        </w:rPr>
      </w:pPr>
      <w:r w:rsidRPr="005A1900">
        <w:rPr>
          <w:rFonts w:ascii="Times New Roman" w:eastAsia="SimSun" w:hAnsi="Times New Roman"/>
          <w:iCs/>
          <w:sz w:val="24"/>
          <w:lang w:eastAsia="en-US"/>
        </w:rPr>
        <w:t xml:space="preserve">Since the modulation schemes supported for both the waveforms are different, we prefer a joint encoding of waveform </w:t>
      </w:r>
      <w:r>
        <w:rPr>
          <w:rFonts w:ascii="Times New Roman" w:eastAsia="SimSun" w:hAnsi="Times New Roman"/>
          <w:iCs/>
          <w:sz w:val="24"/>
          <w:lang w:eastAsia="en-US"/>
        </w:rPr>
        <w:t>indication with MCS will unify</w:t>
      </w:r>
      <w:r w:rsidRPr="005A1900">
        <w:rPr>
          <w:rFonts w:ascii="Times New Roman" w:eastAsia="SimSun" w:hAnsi="Times New Roman"/>
          <w:iCs/>
          <w:sz w:val="24"/>
          <w:lang w:eastAsia="en-US"/>
        </w:rPr>
        <w:t xml:space="preserve"> the MCS framework for uplink data transmission. </w:t>
      </w:r>
      <w:r w:rsidRPr="005A1900">
        <w:rPr>
          <w:rFonts w:ascii="Times New Roman" w:hAnsi="Times New Roman"/>
          <w:sz w:val="24"/>
          <w:szCs w:val="28"/>
        </w:rPr>
        <w:t>A</w:t>
      </w:r>
      <w:r w:rsidR="00AA3B23">
        <w:rPr>
          <w:rFonts w:ascii="Times New Roman" w:hAnsi="Times New Roman"/>
          <w:sz w:val="24"/>
          <w:szCs w:val="28"/>
        </w:rPr>
        <w:t>s show in Table 2</w:t>
      </w:r>
      <w:r>
        <w:rPr>
          <w:rFonts w:ascii="Times New Roman" w:hAnsi="Times New Roman"/>
          <w:sz w:val="24"/>
          <w:szCs w:val="28"/>
        </w:rPr>
        <w:t>, with 6 bits o</w:t>
      </w:r>
      <w:r w:rsidRPr="005A1900">
        <w:rPr>
          <w:rFonts w:ascii="Times New Roman" w:hAnsi="Times New Roman"/>
          <w:sz w:val="24"/>
          <w:szCs w:val="28"/>
        </w:rPr>
        <w:t>f joint encoding of MCS and waveform selection,</w:t>
      </w:r>
      <w:r>
        <w:rPr>
          <w:rFonts w:ascii="Times New Roman" w:hAnsi="Times New Roman"/>
          <w:sz w:val="24"/>
          <w:szCs w:val="28"/>
        </w:rPr>
        <w:t xml:space="preserve"> where 1 indicates DFTsOFDM and 0 indicates CP-OFDM, </w:t>
      </w:r>
      <w:r w:rsidRPr="005A1900">
        <w:rPr>
          <w:rFonts w:ascii="Times New Roman" w:hAnsi="Times New Roman"/>
          <w:sz w:val="24"/>
          <w:szCs w:val="28"/>
        </w:rPr>
        <w:t xml:space="preserve"> we can add more entries  for lower modulation schemes (Pi/2 BPSK)  as well as higher order modulation schemes such as 256-QAM with enough granularity in code rate. Hence with the above approach, the coverage limited UE can use lower order modulations as well as high data demanding UE can use the same 6 bits for higher order modulations with high code rate.  Hence with this approach we can improve the system capacity as well as the coverage of NR at same time. </w:t>
      </w:r>
    </w:p>
    <w:p w:rsidR="00AA3B23" w:rsidRDefault="00AA3B23" w:rsidP="00AA3B23">
      <w:pPr>
        <w:pStyle w:val="Caption"/>
        <w:keepNext/>
      </w:pPr>
      <w:r>
        <w:t>Table 2 MCS table in the uplink DCI</w:t>
      </w:r>
    </w:p>
    <w:tbl>
      <w:tblPr>
        <w:tblW w:w="4880" w:type="dxa"/>
        <w:jc w:val="center"/>
        <w:tblLayout w:type="fixed"/>
        <w:tblCellMar>
          <w:left w:w="0" w:type="dxa"/>
          <w:right w:w="0" w:type="dxa"/>
        </w:tblCellMar>
        <w:tblLook w:val="04A0" w:firstRow="1" w:lastRow="0" w:firstColumn="1" w:lastColumn="0" w:noHBand="0" w:noVBand="1"/>
      </w:tblPr>
      <w:tblGrid>
        <w:gridCol w:w="1038"/>
        <w:gridCol w:w="1562"/>
        <w:gridCol w:w="672"/>
        <w:gridCol w:w="804"/>
        <w:gridCol w:w="804"/>
      </w:tblGrid>
      <w:tr w:rsidR="00AA3B23" w:rsidRPr="00EC0494" w:rsidTr="006E55D1">
        <w:trPr>
          <w:trHeight w:val="335"/>
          <w:jc w:val="center"/>
        </w:trPr>
        <w:tc>
          <w:tcPr>
            <w:tcW w:w="1038" w:type="dxa"/>
            <w:vMerge w:val="restart"/>
            <w:tcBorders>
              <w:top w:val="single" w:sz="8" w:space="0" w:color="auto"/>
              <w:left w:val="single" w:sz="8" w:space="0" w:color="auto"/>
              <w:bottom w:val="nil"/>
              <w:right w:val="single" w:sz="8" w:space="0" w:color="auto"/>
            </w:tcBorders>
            <w:tcMar>
              <w:top w:w="15" w:type="dxa"/>
              <w:left w:w="108" w:type="dxa"/>
              <w:bottom w:w="15" w:type="dxa"/>
              <w:right w:w="108" w:type="dxa"/>
            </w:tcMar>
            <w:vAlign w:val="center"/>
            <w:hideMark/>
          </w:tcPr>
          <w:p w:rsidR="00AA3B23" w:rsidRPr="00F30CD0" w:rsidRDefault="00AA3B23" w:rsidP="006E55D1">
            <w:pPr>
              <w:spacing w:after="0"/>
              <w:jc w:val="center"/>
              <w:rPr>
                <w:b/>
                <w:bCs/>
                <w:sz w:val="18"/>
                <w:szCs w:val="18"/>
                <w:lang w:eastAsia="en-GB"/>
              </w:rPr>
            </w:pPr>
            <w:r w:rsidRPr="00F30CD0">
              <w:rPr>
                <w:b/>
                <w:bCs/>
                <w:sz w:val="18"/>
                <w:szCs w:val="18"/>
              </w:rPr>
              <w:t>MCS Index</w:t>
            </w:r>
          </w:p>
        </w:tc>
        <w:tc>
          <w:tcPr>
            <w:tcW w:w="1562" w:type="dxa"/>
            <w:tcBorders>
              <w:top w:val="single" w:sz="8" w:space="0" w:color="auto"/>
              <w:left w:val="nil"/>
              <w:bottom w:val="nil"/>
              <w:right w:val="single" w:sz="4" w:space="0" w:color="auto"/>
            </w:tcBorders>
          </w:tcPr>
          <w:p w:rsidR="00AA3B23" w:rsidRPr="00F30CD0" w:rsidRDefault="00AA3B23" w:rsidP="006E55D1">
            <w:pPr>
              <w:spacing w:after="0"/>
              <w:jc w:val="center"/>
              <w:rPr>
                <w:b/>
                <w:bCs/>
                <w:sz w:val="18"/>
                <w:szCs w:val="18"/>
              </w:rPr>
            </w:pPr>
            <w:r>
              <w:rPr>
                <w:b/>
                <w:bCs/>
                <w:sz w:val="18"/>
                <w:szCs w:val="18"/>
              </w:rPr>
              <w:t>Waveform selection</w:t>
            </w:r>
          </w:p>
        </w:tc>
        <w:tc>
          <w:tcPr>
            <w:tcW w:w="672" w:type="dxa"/>
            <w:vMerge w:val="restart"/>
            <w:tcBorders>
              <w:top w:val="single" w:sz="8" w:space="0" w:color="auto"/>
              <w:left w:val="single" w:sz="4" w:space="0" w:color="auto"/>
              <w:bottom w:val="nil"/>
              <w:right w:val="single" w:sz="8" w:space="0" w:color="auto"/>
            </w:tcBorders>
            <w:tcMar>
              <w:top w:w="15" w:type="dxa"/>
              <w:left w:w="108" w:type="dxa"/>
              <w:bottom w:w="15" w:type="dxa"/>
              <w:right w:w="108" w:type="dxa"/>
            </w:tcMar>
            <w:vAlign w:val="center"/>
            <w:hideMark/>
          </w:tcPr>
          <w:p w:rsidR="00AA3B23" w:rsidRPr="00F30CD0" w:rsidRDefault="00AA3B23" w:rsidP="006E55D1">
            <w:pPr>
              <w:spacing w:after="0"/>
              <w:jc w:val="center"/>
              <w:rPr>
                <w:b/>
                <w:bCs/>
                <w:sz w:val="18"/>
                <w:szCs w:val="18"/>
              </w:rPr>
            </w:pPr>
            <w:r w:rsidRPr="00F30CD0">
              <w:rPr>
                <w:b/>
                <w:bCs/>
                <w:sz w:val="18"/>
                <w:szCs w:val="18"/>
              </w:rPr>
              <w:t>Modulation order</w:t>
            </w:r>
          </w:p>
        </w:tc>
        <w:tc>
          <w:tcPr>
            <w:tcW w:w="804" w:type="dxa"/>
            <w:vMerge w:val="restart"/>
            <w:tcBorders>
              <w:top w:val="single" w:sz="8" w:space="0" w:color="auto"/>
              <w:left w:val="nil"/>
              <w:bottom w:val="nil"/>
              <w:right w:val="single" w:sz="8" w:space="0" w:color="auto"/>
            </w:tcBorders>
            <w:noWrap/>
            <w:tcMar>
              <w:top w:w="15" w:type="dxa"/>
              <w:left w:w="108" w:type="dxa"/>
              <w:bottom w:w="15" w:type="dxa"/>
              <w:right w:w="108" w:type="dxa"/>
            </w:tcMar>
            <w:vAlign w:val="center"/>
            <w:hideMark/>
          </w:tcPr>
          <w:p w:rsidR="00AA3B23" w:rsidRPr="00F30CD0" w:rsidRDefault="00AA3B23" w:rsidP="006E55D1">
            <w:pPr>
              <w:spacing w:after="0"/>
              <w:jc w:val="center"/>
              <w:rPr>
                <w:b/>
                <w:bCs/>
                <w:sz w:val="18"/>
                <w:szCs w:val="18"/>
              </w:rPr>
            </w:pPr>
            <w:r w:rsidRPr="00F30CD0">
              <w:rPr>
                <w:b/>
                <w:bCs/>
                <w:sz w:val="18"/>
                <w:szCs w:val="18"/>
              </w:rPr>
              <w:t>Code rate</w:t>
            </w:r>
          </w:p>
        </w:tc>
        <w:tc>
          <w:tcPr>
            <w:tcW w:w="804" w:type="dxa"/>
            <w:vMerge w:val="restart"/>
            <w:tcBorders>
              <w:top w:val="single" w:sz="8" w:space="0" w:color="auto"/>
              <w:left w:val="nil"/>
              <w:bottom w:val="nil"/>
              <w:right w:val="single" w:sz="8" w:space="0" w:color="auto"/>
            </w:tcBorders>
            <w:noWrap/>
            <w:tcMar>
              <w:top w:w="15" w:type="dxa"/>
              <w:left w:w="108" w:type="dxa"/>
              <w:bottom w:w="15" w:type="dxa"/>
              <w:right w:w="108" w:type="dxa"/>
            </w:tcMar>
            <w:vAlign w:val="center"/>
            <w:hideMark/>
          </w:tcPr>
          <w:p w:rsidR="00AA3B23" w:rsidRPr="00F30CD0" w:rsidRDefault="00AA3B23" w:rsidP="006E55D1">
            <w:pPr>
              <w:spacing w:after="0"/>
              <w:jc w:val="center"/>
              <w:rPr>
                <w:b/>
                <w:bCs/>
                <w:sz w:val="18"/>
                <w:szCs w:val="18"/>
              </w:rPr>
            </w:pPr>
            <w:r w:rsidRPr="00F30CD0">
              <w:rPr>
                <w:b/>
                <w:bCs/>
                <w:sz w:val="18"/>
                <w:szCs w:val="18"/>
              </w:rPr>
              <w:t>Spe. Eff.</w:t>
            </w:r>
          </w:p>
        </w:tc>
      </w:tr>
      <w:tr w:rsidR="00AA3B23" w:rsidRPr="00EC0494" w:rsidTr="006E55D1">
        <w:trPr>
          <w:trHeight w:val="330"/>
          <w:jc w:val="center"/>
        </w:trPr>
        <w:tc>
          <w:tcPr>
            <w:tcW w:w="1038" w:type="dxa"/>
            <w:vMerge/>
            <w:tcBorders>
              <w:top w:val="single" w:sz="8" w:space="0" w:color="auto"/>
              <w:left w:val="single" w:sz="8" w:space="0" w:color="auto"/>
              <w:bottom w:val="nil"/>
              <w:right w:val="single" w:sz="8" w:space="0" w:color="auto"/>
            </w:tcBorders>
            <w:vAlign w:val="center"/>
            <w:hideMark/>
          </w:tcPr>
          <w:p w:rsidR="00AA3B23" w:rsidRPr="00F30CD0" w:rsidRDefault="00AA3B23" w:rsidP="006E55D1">
            <w:pPr>
              <w:spacing w:after="0"/>
              <w:jc w:val="center"/>
              <w:rPr>
                <w:b/>
                <w:bCs/>
                <w:sz w:val="18"/>
                <w:szCs w:val="18"/>
              </w:rPr>
            </w:pPr>
          </w:p>
        </w:tc>
        <w:tc>
          <w:tcPr>
            <w:tcW w:w="1562" w:type="dxa"/>
            <w:tcBorders>
              <w:top w:val="single" w:sz="8" w:space="0" w:color="auto"/>
              <w:left w:val="nil"/>
              <w:bottom w:val="nil"/>
              <w:right w:val="single" w:sz="4" w:space="0" w:color="auto"/>
            </w:tcBorders>
          </w:tcPr>
          <w:p w:rsidR="00AA3B23" w:rsidRPr="00F30CD0" w:rsidRDefault="00AA3B23" w:rsidP="006E55D1">
            <w:pPr>
              <w:spacing w:after="0"/>
              <w:jc w:val="center"/>
              <w:rPr>
                <w:b/>
                <w:bCs/>
                <w:sz w:val="18"/>
                <w:szCs w:val="18"/>
              </w:rPr>
            </w:pPr>
          </w:p>
        </w:tc>
        <w:tc>
          <w:tcPr>
            <w:tcW w:w="672" w:type="dxa"/>
            <w:vMerge/>
            <w:tcBorders>
              <w:top w:val="single" w:sz="8" w:space="0" w:color="auto"/>
              <w:left w:val="single" w:sz="4" w:space="0" w:color="auto"/>
              <w:bottom w:val="nil"/>
              <w:right w:val="single" w:sz="8" w:space="0" w:color="auto"/>
            </w:tcBorders>
            <w:vAlign w:val="center"/>
            <w:hideMark/>
          </w:tcPr>
          <w:p w:rsidR="00AA3B23" w:rsidRPr="00F30CD0" w:rsidRDefault="00AA3B23" w:rsidP="006E55D1">
            <w:pPr>
              <w:spacing w:after="0"/>
              <w:jc w:val="center"/>
              <w:rPr>
                <w:b/>
                <w:bCs/>
                <w:sz w:val="18"/>
                <w:szCs w:val="18"/>
              </w:rPr>
            </w:pPr>
          </w:p>
        </w:tc>
        <w:tc>
          <w:tcPr>
            <w:tcW w:w="804" w:type="dxa"/>
            <w:vMerge/>
            <w:tcBorders>
              <w:top w:val="single" w:sz="8" w:space="0" w:color="auto"/>
              <w:left w:val="nil"/>
              <w:bottom w:val="nil"/>
              <w:right w:val="single" w:sz="8" w:space="0" w:color="auto"/>
            </w:tcBorders>
            <w:vAlign w:val="center"/>
            <w:hideMark/>
          </w:tcPr>
          <w:p w:rsidR="00AA3B23" w:rsidRPr="00F30CD0" w:rsidRDefault="00AA3B23" w:rsidP="006E55D1">
            <w:pPr>
              <w:spacing w:after="0"/>
              <w:jc w:val="center"/>
              <w:rPr>
                <w:b/>
                <w:bCs/>
                <w:sz w:val="18"/>
                <w:szCs w:val="18"/>
              </w:rPr>
            </w:pPr>
          </w:p>
        </w:tc>
        <w:tc>
          <w:tcPr>
            <w:tcW w:w="804" w:type="dxa"/>
            <w:vMerge/>
            <w:tcBorders>
              <w:top w:val="single" w:sz="8" w:space="0" w:color="auto"/>
              <w:left w:val="nil"/>
              <w:bottom w:val="nil"/>
              <w:right w:val="single" w:sz="8" w:space="0" w:color="auto"/>
            </w:tcBorders>
            <w:vAlign w:val="center"/>
            <w:hideMark/>
          </w:tcPr>
          <w:p w:rsidR="00AA3B23" w:rsidRPr="00F30CD0" w:rsidRDefault="00AA3B23" w:rsidP="006E55D1">
            <w:pPr>
              <w:spacing w:after="0"/>
              <w:jc w:val="center"/>
              <w:rPr>
                <w:b/>
                <w:bCs/>
                <w:sz w:val="18"/>
                <w:szCs w:val="18"/>
              </w:rPr>
            </w:pPr>
          </w:p>
        </w:tc>
      </w:tr>
      <w:tr w:rsidR="00AA3B23" w:rsidRPr="00EC0494" w:rsidTr="006E55D1">
        <w:trPr>
          <w:trHeight w:val="185"/>
          <w:jc w:val="center"/>
        </w:trPr>
        <w:tc>
          <w:tcPr>
            <w:tcW w:w="1038" w:type="dxa"/>
            <w:tcBorders>
              <w:top w:val="single" w:sz="8" w:space="0" w:color="auto"/>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0</w:t>
            </w:r>
          </w:p>
        </w:tc>
        <w:tc>
          <w:tcPr>
            <w:tcW w:w="1562" w:type="dxa"/>
            <w:tcBorders>
              <w:top w:val="single" w:sz="8" w:space="0" w:color="auto"/>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single" w:sz="8" w:space="0" w:color="auto"/>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Pr>
                <w:sz w:val="18"/>
                <w:szCs w:val="18"/>
              </w:rPr>
              <w:t>1</w:t>
            </w:r>
          </w:p>
        </w:tc>
        <w:tc>
          <w:tcPr>
            <w:tcW w:w="804" w:type="dxa"/>
            <w:tcBorders>
              <w:top w:val="single" w:sz="8" w:space="0" w:color="auto"/>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1/32</w:t>
            </w:r>
          </w:p>
        </w:tc>
        <w:tc>
          <w:tcPr>
            <w:tcW w:w="804" w:type="dxa"/>
            <w:tcBorders>
              <w:top w:val="single" w:sz="8" w:space="0" w:color="auto"/>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0.06</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1</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Pr>
                <w:sz w:val="18"/>
                <w:szCs w:val="18"/>
              </w:rPr>
              <w:t>1</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0.13</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2</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Pr>
                <w:sz w:val="18"/>
                <w:szCs w:val="18"/>
              </w:rPr>
              <w:t>1</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0.25</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3</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Pr>
                <w:sz w:val="18"/>
                <w:szCs w:val="18"/>
              </w:rPr>
              <w:t>1</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6"/>
                <w:szCs w:val="16"/>
              </w:rPr>
              <w:t>0.13</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4</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1/4</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0.50</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5</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5/16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0.63</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6</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3/8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0.75</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lastRenderedPageBreak/>
              <w:t>7</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7/16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0.88</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8</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1/2</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1.00</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9</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1/4</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0.25</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10</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5/8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1.25</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11</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3/8</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1.50</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12</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7/16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1.75</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13</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1/2</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2.00</w:t>
            </w:r>
          </w:p>
        </w:tc>
      </w:tr>
      <w:tr w:rsidR="00AA3B23" w:rsidRPr="00EC0494" w:rsidTr="006E55D1">
        <w:trPr>
          <w:trHeight w:val="185"/>
          <w:jc w:val="center"/>
        </w:trPr>
        <w:tc>
          <w:tcPr>
            <w:tcW w:w="1038" w:type="dxa"/>
            <w:tcBorders>
              <w:top w:val="nil"/>
              <w:left w:val="single" w:sz="8" w:space="0" w:color="auto"/>
              <w:bottom w:val="single" w:sz="8" w:space="0" w:color="auto"/>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14</w:t>
            </w:r>
          </w:p>
        </w:tc>
        <w:tc>
          <w:tcPr>
            <w:tcW w:w="1562" w:type="dxa"/>
            <w:tcBorders>
              <w:top w:val="nil"/>
              <w:left w:val="nil"/>
              <w:bottom w:val="single" w:sz="8" w:space="0" w:color="auto"/>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top w:val="nil"/>
              <w:left w:val="single" w:sz="4"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single" w:sz="8" w:space="0" w:color="auto"/>
              <w:bottom w:val="single" w:sz="8" w:space="0" w:color="auto"/>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9/16</w:t>
            </w:r>
          </w:p>
        </w:tc>
        <w:tc>
          <w:tcPr>
            <w:tcW w:w="804" w:type="dxa"/>
            <w:tcBorders>
              <w:top w:val="nil"/>
              <w:left w:val="single" w:sz="8" w:space="0" w:color="auto"/>
              <w:bottom w:val="single" w:sz="8" w:space="0" w:color="auto"/>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2.25</w:t>
            </w:r>
          </w:p>
        </w:tc>
      </w:tr>
      <w:tr w:rsidR="00AA3B23" w:rsidRPr="00EC0494" w:rsidTr="006E55D1">
        <w:trPr>
          <w:trHeight w:val="193"/>
          <w:jc w:val="center"/>
        </w:trPr>
        <w:tc>
          <w:tcPr>
            <w:tcW w:w="1038" w:type="dxa"/>
            <w:tcBorders>
              <w:top w:val="nil"/>
              <w:left w:val="single" w:sz="8" w:space="0" w:color="auto"/>
              <w:bottom w:val="nil"/>
              <w:right w:val="single" w:sz="8" w:space="0" w:color="auto"/>
            </w:tcBorders>
            <w:shd w:val="clear" w:color="auto" w:fill="F8CBAD"/>
            <w:tcMar>
              <w:top w:w="15" w:type="dxa"/>
              <w:left w:w="108" w:type="dxa"/>
              <w:bottom w:w="15" w:type="dxa"/>
              <w:right w:w="108" w:type="dxa"/>
            </w:tcMar>
            <w:vAlign w:val="bottom"/>
            <w:hideMark/>
          </w:tcPr>
          <w:p w:rsidR="00AA3B23" w:rsidRPr="00F30CD0" w:rsidRDefault="00AA3B23" w:rsidP="006E55D1">
            <w:pPr>
              <w:spacing w:after="0"/>
              <w:jc w:val="center"/>
              <w:rPr>
                <w:sz w:val="18"/>
                <w:szCs w:val="18"/>
              </w:rPr>
            </w:pPr>
            <w:r w:rsidRPr="00F30CD0">
              <w:rPr>
                <w:sz w:val="18"/>
                <w:szCs w:val="18"/>
              </w:rPr>
              <w:t>15</w:t>
            </w:r>
          </w:p>
        </w:tc>
        <w:tc>
          <w:tcPr>
            <w:tcW w:w="1562" w:type="dxa"/>
            <w:tcBorders>
              <w:right w:val="single" w:sz="4" w:space="0" w:color="auto"/>
            </w:tcBorders>
            <w:shd w:val="clear" w:color="auto" w:fill="F8CBAD"/>
          </w:tcPr>
          <w:p w:rsidR="00AA3B23" w:rsidRPr="00F30CD0" w:rsidRDefault="00AA3B23" w:rsidP="006E55D1">
            <w:pPr>
              <w:spacing w:after="0"/>
              <w:jc w:val="center"/>
              <w:rPr>
                <w:sz w:val="18"/>
                <w:szCs w:val="18"/>
              </w:rPr>
            </w:pPr>
            <w:r>
              <w:rPr>
                <w:sz w:val="18"/>
                <w:szCs w:val="18"/>
              </w:rPr>
              <w:t>1</w:t>
            </w:r>
          </w:p>
        </w:tc>
        <w:tc>
          <w:tcPr>
            <w:tcW w:w="672" w:type="dxa"/>
            <w:tcBorders>
              <w:left w:val="single" w:sz="4" w:space="0" w:color="auto"/>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single" w:sz="8" w:space="0" w:color="auto"/>
              <w:bottom w:val="nil"/>
              <w:right w:val="nil"/>
            </w:tcBorders>
            <w:shd w:val="clear" w:color="auto" w:fill="F8CBAD"/>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5/8</w:t>
            </w:r>
          </w:p>
        </w:tc>
        <w:tc>
          <w:tcPr>
            <w:tcW w:w="804" w:type="dxa"/>
            <w:tcBorders>
              <w:top w:val="nil"/>
              <w:left w:val="single" w:sz="8" w:space="0" w:color="auto"/>
              <w:bottom w:val="nil"/>
              <w:right w:val="single" w:sz="8" w:space="0" w:color="auto"/>
            </w:tcBorders>
            <w:shd w:val="clear" w:color="auto" w:fill="F8CBAD"/>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2.50</w:t>
            </w:r>
          </w:p>
        </w:tc>
      </w:tr>
      <w:tr w:rsidR="00AA3B23" w:rsidRPr="00EC0494" w:rsidTr="006E55D1">
        <w:trPr>
          <w:trHeight w:val="185"/>
          <w:jc w:val="center"/>
        </w:trPr>
        <w:tc>
          <w:tcPr>
            <w:tcW w:w="1038" w:type="dxa"/>
            <w:tcBorders>
              <w:top w:val="single" w:sz="8" w:space="0" w:color="auto"/>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16</w:t>
            </w:r>
          </w:p>
        </w:tc>
        <w:tc>
          <w:tcPr>
            <w:tcW w:w="1562" w:type="dxa"/>
            <w:tcBorders>
              <w:top w:val="single" w:sz="8" w:space="0" w:color="auto"/>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single" w:sz="8" w:space="0" w:color="auto"/>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4</w:t>
            </w:r>
          </w:p>
        </w:tc>
        <w:tc>
          <w:tcPr>
            <w:tcW w:w="804" w:type="dxa"/>
            <w:tcBorders>
              <w:top w:val="single" w:sz="8" w:space="0" w:color="auto"/>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11/16</w:t>
            </w:r>
          </w:p>
        </w:tc>
        <w:tc>
          <w:tcPr>
            <w:tcW w:w="804" w:type="dxa"/>
            <w:tcBorders>
              <w:top w:val="single" w:sz="8" w:space="0" w:color="auto"/>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2.75</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17</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4</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3/4</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3.00</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18</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9/16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3.38</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19</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5/8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3.75</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20</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11/16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4.13</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21</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3/4</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4.50</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22</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13/16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4.88</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23</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7/8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5.25</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24</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11/16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5.50</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25</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3/4</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6.00</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26</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13/16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6.50</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27</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7/8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7.00</w:t>
            </w:r>
          </w:p>
        </w:tc>
      </w:tr>
      <w:tr w:rsidR="00AA3B23" w:rsidRPr="00EC0494" w:rsidTr="006E55D1">
        <w:trPr>
          <w:trHeight w:val="185"/>
          <w:jc w:val="center"/>
        </w:trPr>
        <w:tc>
          <w:tcPr>
            <w:tcW w:w="1038" w:type="dxa"/>
            <w:tcBorders>
              <w:top w:val="nil"/>
              <w:left w:val="single" w:sz="8" w:space="0" w:color="auto"/>
              <w:bottom w:val="single" w:sz="8" w:space="0" w:color="auto"/>
              <w:right w:val="nil"/>
            </w:tcBorders>
            <w:shd w:val="clear" w:color="auto" w:fill="F7CAAC" w:themeFill="accent2" w:themeFillTint="66"/>
            <w:tcMar>
              <w:top w:w="15" w:type="dxa"/>
              <w:left w:w="108" w:type="dxa"/>
              <w:bottom w:w="15" w:type="dxa"/>
              <w:right w:w="108" w:type="dxa"/>
            </w:tcMar>
            <w:vAlign w:val="bottom"/>
            <w:hideMark/>
          </w:tcPr>
          <w:p w:rsidR="00AA3B23" w:rsidRPr="008577B9" w:rsidRDefault="00AA3B23" w:rsidP="006E55D1">
            <w:pPr>
              <w:spacing w:after="0"/>
              <w:jc w:val="center"/>
              <w:rPr>
                <w:sz w:val="18"/>
                <w:szCs w:val="18"/>
              </w:rPr>
            </w:pPr>
            <w:r w:rsidRPr="008577B9">
              <w:rPr>
                <w:sz w:val="18"/>
                <w:szCs w:val="18"/>
              </w:rPr>
              <w:t>28</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672" w:type="dxa"/>
            <w:tcBorders>
              <w:top w:val="nil"/>
              <w:left w:val="single" w:sz="4" w:space="0" w:color="auto"/>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8</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center"/>
          </w:tcPr>
          <w:p w:rsidR="00AA3B23" w:rsidRPr="008577B9" w:rsidRDefault="00AA3B23" w:rsidP="006E55D1">
            <w:pPr>
              <w:spacing w:after="0"/>
              <w:jc w:val="center"/>
              <w:rPr>
                <w:sz w:val="18"/>
                <w:szCs w:val="18"/>
              </w:rPr>
            </w:pPr>
            <w:r w:rsidRPr="008577B9">
              <w:rPr>
                <w:sz w:val="18"/>
                <w:szCs w:val="18"/>
              </w:rPr>
              <w:t>15/16</w:t>
            </w:r>
          </w:p>
        </w:tc>
        <w:tc>
          <w:tcPr>
            <w:tcW w:w="804" w:type="dxa"/>
            <w:tcBorders>
              <w:top w:val="nil"/>
              <w:left w:val="nil"/>
              <w:bottom w:val="single" w:sz="8" w:space="0" w:color="auto"/>
              <w:right w:val="single" w:sz="8" w:space="0" w:color="auto"/>
            </w:tcBorders>
            <w:shd w:val="clear" w:color="auto" w:fill="F7CAAC" w:themeFill="accent2" w:themeFillTint="66"/>
            <w:noWrap/>
            <w:tcMar>
              <w:top w:w="15" w:type="dxa"/>
              <w:left w:w="108" w:type="dxa"/>
              <w:bottom w:w="15" w:type="dxa"/>
              <w:right w:w="108" w:type="dxa"/>
            </w:tcMar>
            <w:vAlign w:val="bottom"/>
          </w:tcPr>
          <w:p w:rsidR="00AA3B23" w:rsidRPr="008577B9" w:rsidRDefault="00AA3B23" w:rsidP="006E55D1">
            <w:pPr>
              <w:spacing w:after="0"/>
              <w:jc w:val="center"/>
              <w:rPr>
                <w:sz w:val="18"/>
                <w:szCs w:val="18"/>
              </w:rPr>
            </w:pPr>
            <w:r w:rsidRPr="008577B9">
              <w:rPr>
                <w:sz w:val="18"/>
                <w:szCs w:val="18"/>
              </w:rPr>
              <w:t>7.50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F7CAAC" w:themeFill="accent2" w:themeFillTint="66"/>
            <w:vAlign w:val="bottom"/>
          </w:tcPr>
          <w:p w:rsidR="00AA3B23" w:rsidRPr="008577B9" w:rsidRDefault="00AA3B23" w:rsidP="006E55D1">
            <w:pPr>
              <w:spacing w:after="0"/>
              <w:jc w:val="center"/>
              <w:rPr>
                <w:color w:val="FF0000"/>
                <w:sz w:val="18"/>
                <w:szCs w:val="18"/>
              </w:rPr>
            </w:pPr>
            <w:r w:rsidRPr="008577B9">
              <w:rPr>
                <w:sz w:val="18"/>
                <w:szCs w:val="18"/>
              </w:rPr>
              <w:t>29</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8577B9" w:rsidRDefault="00AA3B23" w:rsidP="006E55D1">
            <w:pPr>
              <w:spacing w:after="0"/>
              <w:jc w:val="center"/>
              <w:rPr>
                <w:sz w:val="18"/>
                <w:szCs w:val="18"/>
              </w:rPr>
            </w:pPr>
            <w:r w:rsidRPr="008577B9">
              <w:rPr>
                <w:sz w:val="18"/>
                <w:szCs w:val="18"/>
              </w:rPr>
              <w:t>1</w:t>
            </w:r>
          </w:p>
        </w:tc>
        <w:tc>
          <w:tcPr>
            <w:tcW w:w="2280" w:type="dxa"/>
            <w:gridSpan w:val="3"/>
            <w:vMerge w:val="restart"/>
            <w:tcBorders>
              <w:top w:val="nil"/>
              <w:left w:val="single" w:sz="4" w:space="0" w:color="auto"/>
              <w:right w:val="single" w:sz="8" w:space="0" w:color="auto"/>
            </w:tcBorders>
            <w:noWrap/>
            <w:tcMar>
              <w:top w:w="15" w:type="dxa"/>
              <w:left w:w="108" w:type="dxa"/>
              <w:bottom w:w="15" w:type="dxa"/>
              <w:right w:w="108" w:type="dxa"/>
            </w:tcMar>
            <w:vAlign w:val="bottom"/>
          </w:tcPr>
          <w:p w:rsidR="00AA3B23" w:rsidRPr="008577B9" w:rsidRDefault="00AA3B23" w:rsidP="006E55D1">
            <w:pPr>
              <w:spacing w:after="0"/>
              <w:jc w:val="center"/>
              <w:rPr>
                <w:color w:val="FF0000"/>
                <w:sz w:val="18"/>
                <w:szCs w:val="18"/>
              </w:rPr>
            </w:pPr>
            <w:r w:rsidRPr="008577B9">
              <w:rPr>
                <w:sz w:val="18"/>
                <w:szCs w:val="18"/>
              </w:rPr>
              <w:t>reserved</w:t>
            </w:r>
          </w:p>
          <w:p w:rsidR="00AA3B23" w:rsidRPr="008577B9" w:rsidRDefault="00AA3B23" w:rsidP="006E55D1">
            <w:pPr>
              <w:spacing w:after="0"/>
              <w:jc w:val="center"/>
              <w:rPr>
                <w:color w:val="FF0000"/>
                <w:sz w:val="18"/>
                <w:szCs w:val="18"/>
              </w:rPr>
            </w:pP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F7CAAC" w:themeFill="accent2" w:themeFillTint="66"/>
            <w:vAlign w:val="bottom"/>
          </w:tcPr>
          <w:p w:rsidR="00AA3B23" w:rsidRPr="00F30CD0" w:rsidRDefault="00AA3B23" w:rsidP="006E55D1">
            <w:pPr>
              <w:spacing w:after="0"/>
              <w:jc w:val="center"/>
              <w:rPr>
                <w:sz w:val="18"/>
                <w:szCs w:val="18"/>
              </w:rPr>
            </w:pPr>
            <w:r>
              <w:rPr>
                <w:sz w:val="18"/>
                <w:szCs w:val="18"/>
              </w:rPr>
              <w:t>30</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F30CD0" w:rsidRDefault="00AA3B23" w:rsidP="006E55D1">
            <w:pPr>
              <w:spacing w:after="0"/>
              <w:jc w:val="center"/>
              <w:rPr>
                <w:sz w:val="18"/>
                <w:szCs w:val="18"/>
              </w:rPr>
            </w:pPr>
            <w:r>
              <w:rPr>
                <w:sz w:val="18"/>
                <w:szCs w:val="18"/>
              </w:rPr>
              <w:t>1</w:t>
            </w:r>
          </w:p>
        </w:tc>
        <w:tc>
          <w:tcPr>
            <w:tcW w:w="2280" w:type="dxa"/>
            <w:gridSpan w:val="3"/>
            <w:vMerge/>
            <w:tcBorders>
              <w:left w:val="single" w:sz="4" w:space="0" w:color="auto"/>
              <w:right w:val="single" w:sz="8" w:space="0" w:color="auto"/>
            </w:tcBorders>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F7CAAC" w:themeFill="accent2" w:themeFillTint="66"/>
            <w:vAlign w:val="bottom"/>
          </w:tcPr>
          <w:p w:rsidR="00AA3B23" w:rsidRPr="00F30CD0" w:rsidRDefault="00AA3B23" w:rsidP="006E55D1">
            <w:pPr>
              <w:spacing w:after="0"/>
              <w:jc w:val="center"/>
              <w:rPr>
                <w:sz w:val="18"/>
                <w:szCs w:val="18"/>
              </w:rPr>
            </w:pPr>
            <w:r>
              <w:rPr>
                <w:sz w:val="18"/>
                <w:szCs w:val="18"/>
              </w:rPr>
              <w:t>31</w:t>
            </w:r>
          </w:p>
        </w:tc>
        <w:tc>
          <w:tcPr>
            <w:tcW w:w="1562" w:type="dxa"/>
            <w:tcBorders>
              <w:top w:val="nil"/>
              <w:left w:val="single" w:sz="8" w:space="0" w:color="auto"/>
              <w:bottom w:val="single" w:sz="8" w:space="0" w:color="auto"/>
              <w:right w:val="single" w:sz="4" w:space="0" w:color="auto"/>
            </w:tcBorders>
            <w:shd w:val="clear" w:color="auto" w:fill="F7CAAC" w:themeFill="accent2" w:themeFillTint="66"/>
          </w:tcPr>
          <w:p w:rsidR="00AA3B23" w:rsidRPr="00F30CD0" w:rsidRDefault="00AA3B23" w:rsidP="006E55D1">
            <w:pPr>
              <w:spacing w:after="0"/>
              <w:jc w:val="center"/>
              <w:rPr>
                <w:sz w:val="18"/>
                <w:szCs w:val="18"/>
              </w:rPr>
            </w:pPr>
            <w:r>
              <w:rPr>
                <w:sz w:val="18"/>
                <w:szCs w:val="18"/>
              </w:rPr>
              <w:t>1</w:t>
            </w:r>
          </w:p>
        </w:tc>
        <w:tc>
          <w:tcPr>
            <w:tcW w:w="2280" w:type="dxa"/>
            <w:gridSpan w:val="3"/>
            <w:vMerge/>
            <w:tcBorders>
              <w:left w:val="single" w:sz="4" w:space="0" w:color="auto"/>
              <w:bottom w:val="single" w:sz="8" w:space="0" w:color="auto"/>
              <w:right w:val="single" w:sz="8" w:space="0" w:color="auto"/>
            </w:tcBorders>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p>
        </w:tc>
      </w:tr>
      <w:tr w:rsidR="00AA3B23" w:rsidRPr="00797681" w:rsidTr="006E55D1">
        <w:trPr>
          <w:trHeight w:val="268"/>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sidRPr="00F30CD0">
              <w:rPr>
                <w:sz w:val="18"/>
                <w:szCs w:val="18"/>
              </w:rPr>
              <w:t>3</w:t>
            </w:r>
            <w:r>
              <w:rPr>
                <w:sz w:val="18"/>
                <w:szCs w:val="18"/>
              </w:rPr>
              <w:t>2</w:t>
            </w:r>
          </w:p>
        </w:tc>
        <w:tc>
          <w:tcPr>
            <w:tcW w:w="1562" w:type="dxa"/>
            <w:tcBorders>
              <w:top w:val="nil"/>
              <w:left w:val="single" w:sz="8" w:space="0" w:color="auto"/>
              <w:bottom w:val="single" w:sz="8" w:space="0" w:color="auto"/>
              <w:right w:val="single" w:sz="4"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1/32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0.06</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33</w:t>
            </w:r>
          </w:p>
        </w:tc>
        <w:tc>
          <w:tcPr>
            <w:tcW w:w="1562" w:type="dxa"/>
            <w:tcBorders>
              <w:top w:val="nil"/>
              <w:left w:val="single" w:sz="8" w:space="0" w:color="auto"/>
              <w:bottom w:val="single" w:sz="8" w:space="0" w:color="auto"/>
              <w:right w:val="single" w:sz="4"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0.13</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34</w:t>
            </w:r>
          </w:p>
        </w:tc>
        <w:tc>
          <w:tcPr>
            <w:tcW w:w="1562" w:type="dxa"/>
            <w:tcBorders>
              <w:top w:val="nil"/>
              <w:left w:val="single" w:sz="8" w:space="0" w:color="auto"/>
              <w:bottom w:val="single" w:sz="8" w:space="0" w:color="auto"/>
              <w:right w:val="single" w:sz="4"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0.25</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35</w:t>
            </w:r>
          </w:p>
        </w:tc>
        <w:tc>
          <w:tcPr>
            <w:tcW w:w="1562" w:type="dxa"/>
            <w:tcBorders>
              <w:top w:val="nil"/>
              <w:left w:val="single" w:sz="8" w:space="0" w:color="auto"/>
              <w:bottom w:val="single" w:sz="8" w:space="0" w:color="auto"/>
              <w:right w:val="single" w:sz="4"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3/16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0.38</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36</w:t>
            </w:r>
          </w:p>
        </w:tc>
        <w:tc>
          <w:tcPr>
            <w:tcW w:w="1562" w:type="dxa"/>
            <w:tcBorders>
              <w:top w:val="nil"/>
              <w:left w:val="single" w:sz="8" w:space="0" w:color="auto"/>
              <w:bottom w:val="single" w:sz="8" w:space="0" w:color="auto"/>
              <w:right w:val="single" w:sz="4"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4"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0.50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37</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5/16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0.63</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38</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3/8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0.75</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39</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7/16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0.88</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40</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1.00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41</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9/16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1.13</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42</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5/8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1.25</w:t>
            </w:r>
          </w:p>
        </w:tc>
      </w:tr>
      <w:tr w:rsidR="00AA3B23" w:rsidRPr="00797681" w:rsidTr="006E55D1">
        <w:trPr>
          <w:trHeight w:val="340"/>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43</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3/8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1.50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44</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7/16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1.75</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45</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1/2</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2.00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46</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9/16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2.25</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47</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5/8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2.50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48</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11/16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2.75</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49</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3/4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3.00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50</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9/16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3.38</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51</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5/8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3.75</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52</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11/16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4.13</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53</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3/4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4.50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54</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13/16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4.88</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55</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7/8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5.25</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56</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11/16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5.50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Default="00AA3B23" w:rsidP="006E55D1">
            <w:pPr>
              <w:spacing w:after="0"/>
              <w:jc w:val="center"/>
              <w:rPr>
                <w:sz w:val="18"/>
                <w:szCs w:val="18"/>
              </w:rPr>
            </w:pPr>
            <w:r>
              <w:rPr>
                <w:sz w:val="18"/>
                <w:szCs w:val="18"/>
              </w:rPr>
              <w:t>57</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3/4</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6.00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Default="00AA3B23" w:rsidP="006E55D1">
            <w:pPr>
              <w:spacing w:after="0"/>
              <w:jc w:val="center"/>
              <w:rPr>
                <w:sz w:val="18"/>
                <w:szCs w:val="18"/>
              </w:rPr>
            </w:pPr>
            <w:r>
              <w:rPr>
                <w:sz w:val="18"/>
                <w:szCs w:val="18"/>
              </w:rPr>
              <w:t>58</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13/16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6.50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Default="00AA3B23" w:rsidP="006E55D1">
            <w:pPr>
              <w:spacing w:after="0"/>
              <w:jc w:val="center"/>
              <w:rPr>
                <w:sz w:val="18"/>
                <w:szCs w:val="18"/>
              </w:rPr>
            </w:pPr>
            <w:r>
              <w:rPr>
                <w:sz w:val="18"/>
                <w:szCs w:val="18"/>
              </w:rPr>
              <w:t>59</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7/8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7.00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Default="00AA3B23" w:rsidP="006E55D1">
            <w:pPr>
              <w:spacing w:after="0"/>
              <w:jc w:val="center"/>
              <w:rPr>
                <w:sz w:val="18"/>
                <w:szCs w:val="18"/>
              </w:rPr>
            </w:pPr>
            <w:r>
              <w:rPr>
                <w:sz w:val="18"/>
                <w:szCs w:val="18"/>
              </w:rPr>
              <w:t>60</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672" w:type="dxa"/>
            <w:tcBorders>
              <w:top w:val="nil"/>
              <w:left w:val="single" w:sz="8" w:space="0" w:color="auto"/>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8</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sidRPr="00F30CD0">
              <w:rPr>
                <w:sz w:val="18"/>
                <w:szCs w:val="18"/>
              </w:rPr>
              <w:t>15/16</w:t>
            </w:r>
          </w:p>
        </w:tc>
        <w:tc>
          <w:tcPr>
            <w:tcW w:w="804" w:type="dxa"/>
            <w:tcBorders>
              <w:top w:val="nil"/>
              <w:left w:val="nil"/>
              <w:bottom w:val="single" w:sz="8" w:space="0" w:color="auto"/>
              <w:right w:val="single" w:sz="8" w:space="0" w:color="auto"/>
            </w:tcBorders>
            <w:shd w:val="clear" w:color="auto" w:fill="5B9BD5" w:themeFill="accent1"/>
            <w:noWrap/>
            <w:tcMar>
              <w:top w:w="15" w:type="dxa"/>
              <w:left w:w="108" w:type="dxa"/>
              <w:bottom w:w="15" w:type="dxa"/>
              <w:right w:w="108" w:type="dxa"/>
            </w:tcMar>
            <w:vAlign w:val="bottom"/>
          </w:tcPr>
          <w:p w:rsidR="00AA3B23" w:rsidRPr="00F30CD0" w:rsidRDefault="00AA3B23" w:rsidP="006E55D1">
            <w:pPr>
              <w:spacing w:after="0"/>
              <w:jc w:val="center"/>
              <w:rPr>
                <w:sz w:val="18"/>
                <w:szCs w:val="18"/>
              </w:rPr>
            </w:pPr>
            <w:r w:rsidRPr="00F30CD0">
              <w:rPr>
                <w:sz w:val="18"/>
                <w:szCs w:val="18"/>
              </w:rPr>
              <w:t>7.50</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Default="00AA3B23" w:rsidP="006E55D1">
            <w:pPr>
              <w:spacing w:after="0"/>
              <w:jc w:val="center"/>
              <w:rPr>
                <w:sz w:val="18"/>
                <w:szCs w:val="18"/>
              </w:rPr>
            </w:pPr>
            <w:r>
              <w:rPr>
                <w:sz w:val="18"/>
                <w:szCs w:val="18"/>
              </w:rPr>
              <w:lastRenderedPageBreak/>
              <w:t>61</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2280" w:type="dxa"/>
            <w:gridSpan w:val="3"/>
            <w:vMerge w:val="restart"/>
            <w:tcBorders>
              <w:top w:val="nil"/>
              <w:left w:val="single" w:sz="8" w:space="0" w:color="auto"/>
              <w:right w:val="single" w:sz="8" w:space="0" w:color="auto"/>
            </w:tcBorders>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r>
              <w:rPr>
                <w:sz w:val="18"/>
                <w:szCs w:val="18"/>
              </w:rPr>
              <w:t>Reserved</w:t>
            </w: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Default="00AA3B23" w:rsidP="006E55D1">
            <w:pPr>
              <w:spacing w:after="0"/>
              <w:jc w:val="center"/>
              <w:rPr>
                <w:sz w:val="18"/>
                <w:szCs w:val="18"/>
              </w:rPr>
            </w:pPr>
            <w:r>
              <w:rPr>
                <w:sz w:val="18"/>
                <w:szCs w:val="18"/>
              </w:rPr>
              <w:t>62</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2280" w:type="dxa"/>
            <w:gridSpan w:val="3"/>
            <w:vMerge/>
            <w:tcBorders>
              <w:left w:val="single" w:sz="8" w:space="0" w:color="auto"/>
              <w:right w:val="single" w:sz="8" w:space="0" w:color="auto"/>
            </w:tcBorders>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Default="00AA3B23" w:rsidP="006E55D1">
            <w:pPr>
              <w:spacing w:after="0"/>
              <w:jc w:val="center"/>
              <w:rPr>
                <w:sz w:val="18"/>
                <w:szCs w:val="18"/>
              </w:rPr>
            </w:pPr>
            <w:r>
              <w:rPr>
                <w:sz w:val="18"/>
                <w:szCs w:val="18"/>
              </w:rPr>
              <w:t>63</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2280" w:type="dxa"/>
            <w:gridSpan w:val="3"/>
            <w:vMerge/>
            <w:tcBorders>
              <w:left w:val="single" w:sz="8" w:space="0" w:color="auto"/>
              <w:right w:val="single" w:sz="8" w:space="0" w:color="auto"/>
            </w:tcBorders>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p>
        </w:tc>
      </w:tr>
      <w:tr w:rsidR="00AA3B23" w:rsidRPr="00797681" w:rsidTr="006E55D1">
        <w:trPr>
          <w:trHeight w:val="193"/>
          <w:jc w:val="center"/>
        </w:trPr>
        <w:tc>
          <w:tcPr>
            <w:tcW w:w="1038" w:type="dxa"/>
            <w:tcBorders>
              <w:top w:val="nil"/>
              <w:left w:val="single" w:sz="8" w:space="0" w:color="auto"/>
              <w:bottom w:val="single" w:sz="8" w:space="0" w:color="auto"/>
              <w:right w:val="nil"/>
            </w:tcBorders>
            <w:shd w:val="clear" w:color="auto" w:fill="5B9BD5" w:themeFill="accent1"/>
            <w:vAlign w:val="bottom"/>
          </w:tcPr>
          <w:p w:rsidR="00AA3B23" w:rsidRPr="00F30CD0" w:rsidRDefault="00AA3B23" w:rsidP="006E55D1">
            <w:pPr>
              <w:spacing w:after="0"/>
              <w:jc w:val="center"/>
              <w:rPr>
                <w:sz w:val="18"/>
                <w:szCs w:val="18"/>
              </w:rPr>
            </w:pPr>
            <w:r>
              <w:rPr>
                <w:sz w:val="18"/>
                <w:szCs w:val="18"/>
              </w:rPr>
              <w:t>64</w:t>
            </w:r>
          </w:p>
        </w:tc>
        <w:tc>
          <w:tcPr>
            <w:tcW w:w="1562" w:type="dxa"/>
            <w:tcBorders>
              <w:top w:val="nil"/>
              <w:left w:val="single" w:sz="8" w:space="0" w:color="auto"/>
              <w:bottom w:val="single" w:sz="8" w:space="0" w:color="auto"/>
              <w:right w:val="single" w:sz="8" w:space="0" w:color="auto"/>
            </w:tcBorders>
            <w:shd w:val="clear" w:color="auto" w:fill="5B9BD5" w:themeFill="accent1"/>
          </w:tcPr>
          <w:p w:rsidR="00AA3B23" w:rsidRPr="00F30CD0" w:rsidRDefault="00AA3B23" w:rsidP="006E55D1">
            <w:pPr>
              <w:spacing w:after="0"/>
              <w:jc w:val="center"/>
              <w:rPr>
                <w:sz w:val="18"/>
                <w:szCs w:val="18"/>
              </w:rPr>
            </w:pPr>
            <w:r>
              <w:rPr>
                <w:sz w:val="18"/>
                <w:szCs w:val="18"/>
              </w:rPr>
              <w:t>0</w:t>
            </w:r>
          </w:p>
        </w:tc>
        <w:tc>
          <w:tcPr>
            <w:tcW w:w="2280" w:type="dxa"/>
            <w:gridSpan w:val="3"/>
            <w:vMerge/>
            <w:tcBorders>
              <w:left w:val="single" w:sz="8" w:space="0" w:color="auto"/>
              <w:bottom w:val="single" w:sz="8" w:space="0" w:color="auto"/>
              <w:right w:val="single" w:sz="8" w:space="0" w:color="auto"/>
            </w:tcBorders>
            <w:noWrap/>
            <w:tcMar>
              <w:top w:w="15" w:type="dxa"/>
              <w:left w:w="108" w:type="dxa"/>
              <w:bottom w:w="15" w:type="dxa"/>
              <w:right w:w="108" w:type="dxa"/>
            </w:tcMar>
            <w:vAlign w:val="center"/>
          </w:tcPr>
          <w:p w:rsidR="00AA3B23" w:rsidRPr="00F30CD0" w:rsidRDefault="00AA3B23" w:rsidP="006E55D1">
            <w:pPr>
              <w:spacing w:after="0"/>
              <w:jc w:val="center"/>
              <w:rPr>
                <w:sz w:val="18"/>
                <w:szCs w:val="18"/>
              </w:rPr>
            </w:pPr>
          </w:p>
        </w:tc>
      </w:tr>
    </w:tbl>
    <w:p w:rsidR="00AA3B23" w:rsidRDefault="00AA3B23" w:rsidP="00AA3B23">
      <w:pPr>
        <w:rPr>
          <w:sz w:val="24"/>
          <w:szCs w:val="24"/>
        </w:rPr>
      </w:pPr>
    </w:p>
    <w:p w:rsidR="00AA3B23" w:rsidRDefault="00AA3B23" w:rsidP="00AA3B23">
      <w:pPr>
        <w:jc w:val="both"/>
        <w:rPr>
          <w:b/>
          <w:sz w:val="24"/>
          <w:szCs w:val="24"/>
        </w:rPr>
      </w:pPr>
      <w:r>
        <w:rPr>
          <w:b/>
          <w:sz w:val="24"/>
          <w:szCs w:val="24"/>
        </w:rPr>
        <w:t>Proposal 5</w:t>
      </w:r>
      <w:r w:rsidRPr="005C1BF7">
        <w:rPr>
          <w:b/>
          <w:sz w:val="24"/>
          <w:szCs w:val="24"/>
        </w:rPr>
        <w:t xml:space="preserve">: </w:t>
      </w:r>
      <w:r>
        <w:rPr>
          <w:b/>
          <w:sz w:val="24"/>
          <w:szCs w:val="24"/>
        </w:rPr>
        <w:t xml:space="preserve"> Joint encoding of waveform selection and MCS entries is preferred in the uplink DCI </w:t>
      </w:r>
    </w:p>
    <w:p w:rsidR="00AA3B23" w:rsidRDefault="00AA3B23" w:rsidP="00AA3B23">
      <w:pPr>
        <w:jc w:val="both"/>
        <w:rPr>
          <w:b/>
          <w:sz w:val="24"/>
          <w:szCs w:val="24"/>
        </w:rPr>
      </w:pPr>
      <w:r>
        <w:rPr>
          <w:b/>
          <w:sz w:val="24"/>
          <w:szCs w:val="24"/>
        </w:rPr>
        <w:t>Proposal 6</w:t>
      </w:r>
      <w:r w:rsidRPr="005C1BF7">
        <w:rPr>
          <w:b/>
          <w:sz w:val="24"/>
          <w:szCs w:val="24"/>
        </w:rPr>
        <w:t xml:space="preserve">: </w:t>
      </w:r>
      <w:r>
        <w:rPr>
          <w:b/>
          <w:sz w:val="24"/>
          <w:szCs w:val="24"/>
        </w:rPr>
        <w:t xml:space="preserve"> MCS tables for uplink and downlink can be different </w:t>
      </w:r>
    </w:p>
    <w:p w:rsidR="00AA3B23" w:rsidRPr="00AA3B23" w:rsidRDefault="00AA3B23" w:rsidP="009C0834">
      <w:pPr>
        <w:pStyle w:val="BodyText"/>
        <w:rPr>
          <w:rFonts w:ascii="Times New Roman" w:hAnsi="Times New Roman"/>
          <w:sz w:val="24"/>
          <w:szCs w:val="28"/>
          <w:lang w:val="en-US"/>
        </w:rPr>
      </w:pPr>
    </w:p>
    <w:p w:rsidR="000462AB" w:rsidRDefault="000462AB" w:rsidP="009C0834">
      <w:pPr>
        <w:pStyle w:val="Heading1"/>
        <w:numPr>
          <w:ilvl w:val="0"/>
          <w:numId w:val="0"/>
        </w:numPr>
        <w:rPr>
          <w:b/>
          <w:sz w:val="24"/>
          <w:szCs w:val="24"/>
        </w:rPr>
      </w:pPr>
    </w:p>
    <w:p w:rsidR="00D234EA" w:rsidRDefault="00D234EA" w:rsidP="00D234EA">
      <w:pPr>
        <w:pStyle w:val="Heading1"/>
      </w:pPr>
      <w:r>
        <w:t>Adaptive CQI/MCS Pay Load for NR</w:t>
      </w:r>
    </w:p>
    <w:p w:rsidR="00D234EA" w:rsidRPr="00753837" w:rsidRDefault="00D234EA" w:rsidP="00D234EA">
      <w:pPr>
        <w:pStyle w:val="Heading3"/>
        <w:keepLines w:val="0"/>
        <w:numPr>
          <w:ilvl w:val="2"/>
          <w:numId w:val="0"/>
        </w:numPr>
        <w:tabs>
          <w:tab w:val="num" w:pos="851"/>
        </w:tabs>
        <w:spacing w:before="480"/>
        <w:jc w:val="both"/>
        <w:rPr>
          <w:rFonts w:asciiTheme="minorHAnsi" w:hAnsiTheme="minorHAnsi"/>
          <w:b/>
          <w:sz w:val="24"/>
        </w:rPr>
      </w:pPr>
      <w:r>
        <w:rPr>
          <w:rFonts w:asciiTheme="minorHAnsi" w:hAnsiTheme="minorHAnsi"/>
          <w:color w:val="000000" w:themeColor="text1"/>
          <w:sz w:val="24"/>
        </w:rPr>
        <w:t>Figure 1</w:t>
      </w:r>
      <w:r w:rsidRPr="00753837">
        <w:rPr>
          <w:rFonts w:asciiTheme="minorHAnsi" w:hAnsiTheme="minorHAnsi"/>
          <w:color w:val="000000" w:themeColor="text1"/>
          <w:sz w:val="24"/>
        </w:rPr>
        <w:t xml:space="preserve"> shows the typical message sequence chart for downlink data transfer in 5G systems. From the pilot or reference signals, the UE computes the channel estimates then computes the</w:t>
      </w:r>
      <w:r>
        <w:rPr>
          <w:rFonts w:asciiTheme="minorHAnsi" w:hAnsiTheme="minorHAnsi"/>
          <w:color w:val="000000" w:themeColor="text1"/>
          <w:sz w:val="24"/>
        </w:rPr>
        <w:t xml:space="preserve"> </w:t>
      </w:r>
      <w:r w:rsidRPr="00753837">
        <w:rPr>
          <w:rFonts w:asciiTheme="minorHAnsi" w:hAnsiTheme="minorHAnsi"/>
          <w:color w:val="000000" w:themeColor="text1"/>
          <w:sz w:val="24"/>
        </w:rPr>
        <w:t xml:space="preserve">parameters needed for CSI reporting. The CSI report consists of for example channel quality indicator (CQI), precoding matrix index (PMI), rank information (RI) etc. </w:t>
      </w:r>
    </w:p>
    <w:p w:rsidR="00D234EA" w:rsidRDefault="00D234EA" w:rsidP="00D234EA">
      <w:pPr>
        <w:pStyle w:val="BodyText"/>
        <w:keepNext/>
        <w:ind w:left="360"/>
      </w:pPr>
      <w:r>
        <w:rPr>
          <w:noProof/>
          <w:sz w:val="28"/>
          <w:szCs w:val="28"/>
          <w:lang w:val="en-US" w:eastAsia="en-US"/>
        </w:rPr>
        <mc:AlternateContent>
          <mc:Choice Requires="wpc">
            <w:drawing>
              <wp:inline distT="0" distB="0" distL="0" distR="0" wp14:anchorId="025A9EA1" wp14:editId="69844A5F">
                <wp:extent cx="4242816" cy="3079698"/>
                <wp:effectExtent l="0" t="0" r="0" b="0"/>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34EA" w:rsidRPr="00A52042" w:rsidRDefault="00D234EA" w:rsidP="00D234EA">
                              <w:pPr>
                                <w:jc w:val="center"/>
                                <w:rPr>
                                  <w:b/>
                                  <w:sz w:val="16"/>
                                  <w:szCs w:val="16"/>
                                </w:rPr>
                              </w:pPr>
                              <w:r>
                                <w:rPr>
                                  <w:b/>
                                  <w:sz w:val="16"/>
                                  <w:szCs w:val="16"/>
                                </w:rPr>
                                <w:t xml:space="preserve">Downlink Control channel </w:t>
                              </w:r>
                            </w:p>
                          </w:txbxContent>
                        </wps:txbx>
                        <wps:bodyPr rot="0" vert="horz" wrap="square" lIns="0" tIns="0" rIns="0" bIns="0" anchor="t" anchorCtr="0" upright="1">
                          <a:noAutofit/>
                        </wps:bodyPr>
                      </wps:wsp>
                      <wps:wsp>
                        <wps:cNvPr id="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34EA" w:rsidRPr="006116CB" w:rsidRDefault="00D234EA" w:rsidP="00D234EA">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4"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34EA" w:rsidRPr="006116CB" w:rsidRDefault="00D234EA" w:rsidP="00D234EA">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5"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7"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8"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9"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234EA" w:rsidRPr="006116CB" w:rsidRDefault="00D234EA" w:rsidP="00D234E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wps:txbx>
                        <wps:bodyPr rot="0" vert="horz" wrap="square" lIns="91440" tIns="45720" rIns="91440" bIns="45720" anchor="t" anchorCtr="0" upright="1">
                          <a:noAutofit/>
                        </wps:bodyPr>
                      </wps:wsp>
                      <wps:wsp>
                        <wps:cNvPr id="24"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234EA" w:rsidRPr="006116CB" w:rsidRDefault="00D234EA" w:rsidP="00D234EA">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25"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7"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8"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34EA" w:rsidRPr="006116CB" w:rsidRDefault="00D234EA" w:rsidP="00D234EA">
                              <w:pPr>
                                <w:jc w:val="center"/>
                                <w:rPr>
                                  <w:b/>
                                  <w:sz w:val="16"/>
                                  <w:szCs w:val="16"/>
                                  <w:lang w:val="sv-SE"/>
                                </w:rPr>
                              </w:pPr>
                              <w:r w:rsidRPr="006116CB">
                                <w:rPr>
                                  <w:b/>
                                  <w:sz w:val="16"/>
                                  <w:szCs w:val="16"/>
                                  <w:lang w:val="sv-SE"/>
                                </w:rPr>
                                <w:t>Data Traffic Channel (PDSCH)</w:t>
                              </w:r>
                            </w:p>
                          </w:txbxContent>
                        </wps:txbx>
                        <wps:bodyPr rot="0" vert="horz" wrap="square" lIns="0" tIns="0" rIns="0" bIns="0" anchor="t" anchorCtr="0" upright="1">
                          <a:noAutofit/>
                        </wps:bodyPr>
                      </wps:wsp>
                      <wps:wsp>
                        <wps:cNvPr id="29"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0"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234EA" w:rsidRPr="006116CB" w:rsidRDefault="00D234EA" w:rsidP="00D234EA">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1"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D234EA" w:rsidRPr="006116CB" w:rsidRDefault="00D234EA" w:rsidP="00D234EA">
                              <w:pPr>
                                <w:jc w:val="center"/>
                                <w:rPr>
                                  <w:b/>
                                  <w:sz w:val="16"/>
                                  <w:szCs w:val="16"/>
                                </w:rPr>
                              </w:pPr>
                              <w:r w:rsidRPr="006116CB">
                                <w:rPr>
                                  <w:b/>
                                  <w:sz w:val="16"/>
                                  <w:szCs w:val="16"/>
                                </w:rPr>
                                <w:t>Determine the parameters for DL transmission (MCS, Power, PRBs, etc.) based on the CSI</w:t>
                              </w:r>
                            </w:p>
                          </w:txbxContent>
                        </wps:txbx>
                        <wps:bodyPr rot="0" vert="horz" wrap="square" lIns="91440" tIns="45720" rIns="91440" bIns="45720" anchor="t" anchorCtr="0" upright="1">
                          <a:noAutofit/>
                        </wps:bodyPr>
                      </wps:wsp>
                    </wpc:wpc>
                  </a:graphicData>
                </a:graphic>
              </wp:inline>
            </w:drawing>
          </mc:Choice>
          <mc:Fallback>
            <w:pict>
              <v:group w14:anchorId="025A9EA1" id="Canvas 32" o:spid="_x0000_s1026" editas="canvas" style="width:334.1pt;height:242.5pt;mso-position-horizontal-relative:char;mso-position-vertical-relative:line" coordsize="42424,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24;height:30791;visibility:visible;mso-wrap-style:square">
                  <v:fill o:detectmouseclick="t"/>
                  <v:path o:connecttype="none"/>
                </v:shape>
                <v:shapetype id="_x0000_t202" coordsize="21600,21600" o:spt="202" path="m,l,21600r21600,l21600,xe">
                  <v:stroke joinstyle="miter"/>
                  <v:path gradientshapeok="t" o:connecttype="rect"/>
                </v:shapetype>
                <v:shape id="Text Box 11" o:spid="_x0000_s1028"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W3Ob4A&#10;AADaAAAADwAAAGRycy9kb3ducmV2LnhtbERPy6rCMBDdX/AfwghuLprqQqTXKD7BhS70iuuhGdti&#10;MylJtPXvjSC4Gg7nOdN5ayrxIOdLywqGgwQEcWZ1ybmC8/+2PwHhA7LGyjIpeJKH+azzM8VU24aP&#10;9DiFXMQQ9ikqKEKoUyl9VpBBP7A1ceSu1hkMEbpcaodNDDeVHCXJWBosOTYUWNOqoOx2uhsF47W7&#10;N0de/a7Pmz0e6nx0WT4vSvW67eIPRKA2fMUf907H+fB+5X3l7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7ltzm+AAAA2gAAAA8AAAAAAAAAAAAAAAAAmAIAAGRycy9kb3ducmV2&#10;LnhtbFBLBQYAAAAABAAEAPUAAACDAwAAAAA=&#10;" stroked="f">
                  <v:textbox inset="0,0,0,0">
                    <w:txbxContent>
                      <w:p w:rsidR="00D234EA" w:rsidRPr="00A52042" w:rsidRDefault="00D234EA" w:rsidP="00D234EA">
                        <w:pPr>
                          <w:jc w:val="center"/>
                          <w:rPr>
                            <w:b/>
                            <w:sz w:val="16"/>
                            <w:szCs w:val="16"/>
                          </w:rPr>
                        </w:pPr>
                        <w:r>
                          <w:rPr>
                            <w:b/>
                            <w:sz w:val="16"/>
                            <w:szCs w:val="16"/>
                          </w:rPr>
                          <w:t xml:space="preserve">Downlink Control channel </w:t>
                        </w:r>
                      </w:p>
                    </w:txbxContent>
                  </v:textbox>
                </v:shape>
                <v:shape id="Text Box 12" o:spid="_x0000_s1029"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D234EA" w:rsidRPr="006116CB" w:rsidRDefault="00D234EA" w:rsidP="00D234EA">
                        <w:pPr>
                          <w:rPr>
                            <w:b/>
                            <w:sz w:val="16"/>
                            <w:szCs w:val="16"/>
                            <w:lang w:val="sv-SE"/>
                          </w:rPr>
                        </w:pPr>
                        <w:r w:rsidRPr="006116CB">
                          <w:rPr>
                            <w:b/>
                            <w:sz w:val="16"/>
                            <w:szCs w:val="16"/>
                            <w:lang w:val="sv-SE"/>
                          </w:rPr>
                          <w:t xml:space="preserve"> Feedback Channel (CSI)</w:t>
                        </w:r>
                      </w:p>
                    </w:txbxContent>
                  </v:textbox>
                </v:shape>
                <v:shape id="Text Box 13" o:spid="_x0000_s1030"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D234EA" w:rsidRPr="006116CB" w:rsidRDefault="00D234EA" w:rsidP="00D234EA">
                        <w:pPr>
                          <w:jc w:val="center"/>
                          <w:rPr>
                            <w:b/>
                            <w:sz w:val="16"/>
                            <w:szCs w:val="16"/>
                          </w:rPr>
                        </w:pPr>
                        <w:r w:rsidRPr="006116CB">
                          <w:rPr>
                            <w:b/>
                            <w:sz w:val="16"/>
                            <w:szCs w:val="16"/>
                          </w:rPr>
                          <w:t>Cell specific/ UE specific Reference signals</w:t>
                        </w:r>
                      </w:p>
                    </w:txbxContent>
                  </v:textbox>
                </v:shape>
                <v:line id="Line 14" o:spid="_x0000_s1031"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Xp9sUAAADaAAAADwAAAGRycy9kb3ducmV2LnhtbESPQWvCQBSE70L/w/IK3nRjQ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Xp9sUAAADaAAAADwAAAAAAAAAA&#10;AAAAAAChAgAAZHJzL2Rvd25yZXYueG1sUEsFBgAAAAAEAAQA+QAAAJMDAAAAAA==&#10;" strokecolor="black [3200]" strokeweight="1.5pt">
                  <v:stroke joinstyle="miter"/>
                </v:line>
                <v:line id="Line 15" o:spid="_x0000_s1032"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SGsUAAADaAAAADwAAAGRycy9kb3ducmV2LnhtbESPQWvCQBSE70L/w/IK3nRjDyqpq4i0&#10;oAiKRtp6e2SfSTD7Ns2uJvbXdwXB4zAz3zCTWWtKcaXaFZYVDPoRCOLU6oIzBYfkszcG4TyyxtIy&#10;KbiRg9n0pTPBWNuGd3Td+0wECLsYFeTeV7GULs3JoOvbijh4J1sb9EHWmdQ1NgFuSvkWRUNpsOCw&#10;kGNFi5zS8/5iFDRfv8lmHa2+9c9Hsjweb3/bcpAo1X1t5+8gPLX+GX60l1rBCO5Xwg2Q0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vSGsUAAADaAAAADwAAAAAAAAAA&#10;AAAAAAChAgAAZHJzL2Rvd25yZXYueG1sUEsFBgAAAAAEAAQA+QAAAJMDAAAAAA==&#10;" strokecolor="black [3200]" strokeweight="1.5pt">
                  <v:stroke joinstyle="miter"/>
                </v:line>
                <v:line id="Line 16" o:spid="_x0000_s1033"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ZPr8AAADaAAAADwAAAGRycy9kb3ducmV2LnhtbERPz2vCMBS+D/wfwhN2W1N1DK1GKUKh&#10;7jb10OOjeTbF5qU0mbb/vTkMdvz4fu8Oo+3EgwbfOlawSFIQxLXTLTcKrpfiYw3CB2SNnWNSMJGH&#10;w372tsNMuyf/0OMcGhFD2GeowITQZ1L62pBFn7ieOHI3N1gMEQ6N1AM+Y7jt5DJNv6TFlmODwZ6O&#10;hur7+dcqOJm8WOVlVd2/qZ1WdlMs5edCqff5mG9BBBrDv/jPXWoFcWu8Em+A3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yfZPr8AAADaAAAADwAAAAAAAAAAAAAAAACh&#10;AgAAZHJzL2Rvd25yZXYueG1sUEsFBgAAAAAEAAQA+QAAAI0DAAAAAA==&#10;" strokecolor="black [3200]" strokeweight="1.5pt">
                  <v:stroke endarrow="block" joinstyle="miter"/>
                </v:line>
                <v:rect id="Rectangle 17" o:spid="_x0000_s1034"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TrMMA&#10;AADaAAAADwAAAGRycy9kb3ducmV2LnhtbESP0WrCQBRE34X+w3ILvkizqWhpU1dJC4L6IG3qB1yy&#10;t0lo9m7Y3Sbx711B8HGYmTPMajOaVvTkfGNZwXOSgiAurW64UnD62T69gvABWWNrmRScycNm/TBZ&#10;YabtwN/UF6ESEcI+QwV1CF0mpS9rMugT2xFH79c6gyFKV0ntcIhw08p5mr5Igw3HhRo7+qyp/Cv+&#10;jYLjUh6WjCef62Ix8x991eyLL6Wmj2P+DiLQGO7hW3unFbzB9Uq8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TrMMAAADaAAAADwAAAAAAAAAAAAAAAACYAgAAZHJzL2Rv&#10;d25yZXYueG1sUEsFBgAAAAAEAAQA9QAAAIgDAAAAAA==&#10;" fillcolor="white [3201]" strokecolor="black [3200]" strokeweight="1pt">
                  <v:textbox>
                    <w:txbxContent>
                      <w:p w:rsidR="00D234EA" w:rsidRPr="006116CB" w:rsidRDefault="00D234EA" w:rsidP="00D234E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v:textbox>
                </v:rect>
                <v:rect id="Rectangle 18" o:spid="_x0000_s1035"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FUpcEA&#10;AADbAAAADwAAAGRycy9kb3ducmV2LnhtbESP0YrCMBRE3wX/IVzBF1lTRWXpGkUFQX0QrX7Apbnb&#10;Fpub0sRa/94Igo/DzJxh5svWlKKh2hWWFYyGEQji1OqCMwXXy/bnF4TzyBpLy6TgSQ6Wi25njrG2&#10;Dz5Tk/hMBAi7GBXk3lexlC7NyaAb2oo4eP+2NuiDrDOpa3wEuCnlOIpm0mDBYSHHijY5pbfkbhQc&#10;p/IwZby6lU4mA7dusmKfnJTq99rVHwhPrf+GP+2dVjCewPtL+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BVKXBAAAA2wAAAA8AAAAAAAAAAAAAAAAAmAIAAGRycy9kb3du&#10;cmV2LnhtbFBLBQYAAAAABAAEAPUAAACGAwAAAAA=&#10;" fillcolor="white [3201]" strokecolor="black [3200]" strokeweight="1pt">
                  <v:textbox>
                    <w:txbxContent>
                      <w:p w:rsidR="00D234EA" w:rsidRPr="006116CB" w:rsidRDefault="00D234EA" w:rsidP="00D234EA">
                        <w:pPr>
                          <w:rPr>
                            <w:b/>
                            <w:sz w:val="16"/>
                            <w:szCs w:val="16"/>
                            <w:lang w:val="sv-SE"/>
                          </w:rPr>
                        </w:pPr>
                        <w:r w:rsidRPr="006116CB">
                          <w:rPr>
                            <w:b/>
                            <w:sz w:val="16"/>
                            <w:szCs w:val="16"/>
                            <w:lang w:val="sv-SE"/>
                          </w:rPr>
                          <w:t>UE</w:t>
                        </w:r>
                      </w:p>
                    </w:txbxContent>
                  </v:textbox>
                </v:rect>
                <v:line id="Line 19" o:spid="_x0000_s1036"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Qt8UAAADbAAAADwAAAGRycy9kb3ducmV2LnhtbESPQWvCQBSE70L/w/IK3nRTQU1T1xCk&#10;Yg6CaHvp7ZF9zabNvg3ZrUn/fVcQehxm5htmk4+2FVfqfeNYwdM8AUFcOd1wreD9bT9LQfiArLF1&#10;TAp+yUO+fZhsMNNu4DNdL6EWEcI+QwUmhC6T0leGLPq564ij9+l6iyHKvpa6xyHCbSsXSbKSFhuO&#10;CwY72hmqvi8/VsGpKJ+P3SDXh1X9+sVlej597IxS08exeAERaAz/4Xu71AoWS7h9i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Qt8UAAADbAAAADwAAAAAAAAAA&#10;AAAAAAChAgAAZHJzL2Rvd25yZXYueG1sUEsFBgAAAAAEAAQA+QAAAJMDAAAAAA==&#10;" strokecolor="black [3200]" strokeweight="1.5pt">
                  <v:stroke endarrow="block" joinstyle="miter"/>
                </v:line>
                <v:line id="Line 20" o:spid="_x0000_s1037"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T8IAAADbAAAADwAAAGRycy9kb3ducmV2LnhtbESPT4vCMBTE78J+h/AW9qapVXS3a5Qi&#10;FNSbfw4eH83bpti8lCZq/fYbQfA4zMxvmMWqt424UedrxwrGowQEcel0zZWC07EYfoPwAVlj45gU&#10;PMjDavkxWGCm3Z33dDuESkQI+wwVmBDaTEpfGrLoR64ljt6f6yyGKLtK6g7vEW4bmSbJTFqsOS4Y&#10;bGltqLwcrlbB1uTFJN+cz5cd1Y+J/SlSOR0r9fXZ578gAvXhHX61N1pBOof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RT8IAAADbAAAADwAAAAAAAAAAAAAA&#10;AAChAgAAZHJzL2Rvd25yZXYueG1sUEsFBgAAAAAEAAQA+QAAAJADAAAAAA==&#10;" strokecolor="black [3200]" strokeweight="1.5pt">
                  <v:stroke endarrow="block" joinstyle="miter"/>
                </v:line>
                <v:shape id="Text Box 11" o:spid="_x0000_s1038"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inset="0,0,0,0">
                    <w:txbxContent>
                      <w:p w:rsidR="00D234EA" w:rsidRPr="006116CB" w:rsidRDefault="00D234EA" w:rsidP="00D234EA">
                        <w:pPr>
                          <w:jc w:val="center"/>
                          <w:rPr>
                            <w:b/>
                            <w:sz w:val="16"/>
                            <w:szCs w:val="16"/>
                            <w:lang w:val="sv-SE"/>
                          </w:rPr>
                        </w:pPr>
                        <w:r w:rsidRPr="006116CB">
                          <w:rPr>
                            <w:b/>
                            <w:sz w:val="16"/>
                            <w:szCs w:val="16"/>
                            <w:lang w:val="sv-SE"/>
                          </w:rPr>
                          <w:t>Data Traffic Channel (PDSCH)</w:t>
                        </w:r>
                      </w:p>
                    </w:txbxContent>
                  </v:textbox>
                </v:shape>
                <v:line id="Line 22" o:spid="_x0000_s1039"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xEsQAAADbAAAADwAAAGRycy9kb3ducmV2LnhtbESPQWuDQBSE74H8h+UFeotrhJbGZhOK&#10;SSHtLZpLbw/3VUX3rbpbY/59t1DocZiZb5jdYTadmGh0jWUFmygGQVxa3XCl4Fq8rZ9BOI+ssbNM&#10;Cu7k4LBfLnaYanvjC025r0SAsEtRQe19n0rpypoMusj2xMH7sqNBH+RYST3iLcBNJ5M4fpIGGw4L&#10;NfaU1VS2+bdR8DhkH20/bE5o2qI9Jvx5ybp3pR5W8+sLCE+z/w//tc9aQbKF3y/hB8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SxAAAANsAAAAPAAAAAAAAAAAA&#10;AAAAAKECAABkcnMvZG93bnJldi54bWxQSwUGAAAAAAQABAD5AAAAkgMAAAAA&#10;" strokecolor="black [3200]" strokeweight="1.5pt">
                  <v:stroke endarrow="block" joinstyle="miter"/>
                </v:line>
                <v:rect id="Rectangle 18" o:spid="_x0000_s1040"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PEe8AA&#10;AADbAAAADwAAAGRycy9kb3ducmV2LnhtbERPzYrCMBC+L/gOYQQvi6a6q0htFBWEdQ+itQ8wNGNb&#10;bCalibW+vTks7PHj+082valFR62rLCuYTiIQxLnVFRcKsuthvAThPLLG2jIpeJGDzXrwkWCs7ZMv&#10;1KW+ECGEXYwKSu+bWEqXl2TQTWxDHLibbQ36ANtC6hafIdzUchZFC2mw4tBQYkP7kvJ7+jAKTnP5&#10;O2fM3Fan359u1xXVMT0rNRr22xUIT73/F/+5f7SCr7A+fAk/QK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PEe8AAAADbAAAADwAAAAAAAAAAAAAAAACYAgAAZHJzL2Rvd25y&#10;ZXYueG1sUEsFBgAAAAAEAAQA9QAAAIUDAAAAAA==&#10;" fillcolor="white [3201]" strokecolor="black [3200]" strokeweight="1pt">
                  <v:textbox>
                    <w:txbxContent>
                      <w:p w:rsidR="00D234EA" w:rsidRPr="006116CB" w:rsidRDefault="00D234EA" w:rsidP="00D234EA">
                        <w:pPr>
                          <w:jc w:val="center"/>
                          <w:rPr>
                            <w:b/>
                            <w:sz w:val="16"/>
                            <w:szCs w:val="16"/>
                          </w:rPr>
                        </w:pPr>
                        <w:r w:rsidRPr="006116CB">
                          <w:rPr>
                            <w:b/>
                            <w:sz w:val="16"/>
                            <w:szCs w:val="16"/>
                          </w:rPr>
                          <w:t xml:space="preserve">Compute Channel State Information (CSI) from the reference signals </w:t>
                        </w:r>
                      </w:p>
                    </w:txbxContent>
                  </v:textbox>
                </v:rect>
                <v:rect id="Rectangle 18" o:spid="_x0000_s1041"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4MMA&#10;AADbAAAADwAAAGRycy9kb3ducmV2LnhtbESP3YrCMBSE74V9h3AWvBFN/eki1SiuIKgX4lYf4NCc&#10;bcs2J6XJ1vr2RhC8HGbmG2a57kwlWmpcaVnBeBSBIM6sLjlXcL3shnMQziNrrCyTgjs5WK8+ektM&#10;tL3xD7Wpz0WAsEtQQeF9nUjpsoIMupGtiYP3axuDPsgml7rBW4CbSk6i6EsaLDksFFjTtqDsL/03&#10;Ck6xPMaMV7fR6Wzgvtu8PKRnpfqf3WYBwlPn3+FXe68VTMf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h4MMAAADbAAAADwAAAAAAAAAAAAAAAACYAgAAZHJzL2Rv&#10;d25yZXYueG1sUEsFBgAAAAAEAAQA9QAAAIgDAAAAAA==&#10;" fillcolor="white [3201]" strokecolor="black [3200]" strokeweight="1pt">
                  <v:textbox>
                    <w:txbxContent>
                      <w:p w:rsidR="00D234EA" w:rsidRPr="006116CB" w:rsidRDefault="00D234EA" w:rsidP="00D234EA">
                        <w:pPr>
                          <w:jc w:val="center"/>
                          <w:rPr>
                            <w:b/>
                            <w:sz w:val="16"/>
                            <w:szCs w:val="16"/>
                          </w:rPr>
                        </w:pPr>
                        <w:r w:rsidRPr="006116CB">
                          <w:rPr>
                            <w:b/>
                            <w:sz w:val="16"/>
                            <w:szCs w:val="16"/>
                          </w:rPr>
                          <w:t>Determine the parameters for DL transmission (MCS, Power, PRBs, etc.) based on the CSI</w:t>
                        </w:r>
                      </w:p>
                    </w:txbxContent>
                  </v:textbox>
                </v:rect>
                <w10:anchorlock/>
              </v:group>
            </w:pict>
          </mc:Fallback>
        </mc:AlternateContent>
      </w:r>
    </w:p>
    <w:p w:rsidR="00D234EA" w:rsidRPr="009B7674" w:rsidRDefault="00D234EA" w:rsidP="00D234EA">
      <w:pPr>
        <w:pStyle w:val="Caption"/>
        <w:rPr>
          <w:b w:val="0"/>
          <w:i/>
          <w:color w:val="000000" w:themeColor="text1"/>
        </w:rPr>
      </w:pPr>
      <w:r>
        <w:rPr>
          <w:color w:val="000000" w:themeColor="text1"/>
        </w:rPr>
        <w:t>Figure 1</w:t>
      </w:r>
      <w:r w:rsidRPr="009B7674">
        <w:rPr>
          <w:color w:val="000000" w:themeColor="text1"/>
        </w:rPr>
        <w:t xml:space="preserve"> Message sequence chart between gNode B and UE</w:t>
      </w:r>
    </w:p>
    <w:p w:rsidR="00D234EA" w:rsidRDefault="00D234EA" w:rsidP="00D234EA">
      <w:pPr>
        <w:pStyle w:val="Heading3"/>
        <w:numPr>
          <w:ilvl w:val="0"/>
          <w:numId w:val="0"/>
        </w:numPr>
        <w:jc w:val="both"/>
        <w:rPr>
          <w:rFonts w:asciiTheme="minorHAnsi" w:hAnsiTheme="minorHAnsi"/>
          <w:color w:val="000000" w:themeColor="text1"/>
          <w:sz w:val="24"/>
        </w:rPr>
      </w:pPr>
      <w:r w:rsidRPr="00BE784F">
        <w:rPr>
          <w:rFonts w:asciiTheme="minorHAnsi" w:hAnsiTheme="minorHAnsi"/>
          <w:color w:val="000000" w:themeColor="text1"/>
          <w:sz w:val="24"/>
        </w:rPr>
        <w:t xml:space="preserve">The CSI report is sent to the gNodeB via a feedback channel either on a periodic basis or on demand based CSI i.e. aperiodic CSI reporting. The gNodeB scheduler uses this information in choosing the parameters for scheduling of this particular UE. The gNodeB sends the scheduling parameters to the UE in the downlink control channel called PDCCH. After that actual data transfer takes place from gNodeB to the UE. </w:t>
      </w:r>
    </w:p>
    <w:p w:rsidR="00D234EA" w:rsidRDefault="00D234EA" w:rsidP="00D234EA">
      <w:pPr>
        <w:rPr>
          <w:rFonts w:asciiTheme="minorHAnsi" w:hAnsiTheme="minorHAnsi"/>
          <w:color w:val="000000" w:themeColor="text1"/>
          <w:sz w:val="24"/>
        </w:rPr>
      </w:pPr>
      <w:r>
        <w:rPr>
          <w:rFonts w:asciiTheme="minorHAnsi" w:hAnsiTheme="minorHAnsi"/>
          <w:color w:val="000000" w:themeColor="text1"/>
          <w:sz w:val="24"/>
          <w:lang w:val="en-GB"/>
        </w:rPr>
        <w:t xml:space="preserve">If we use the same principle as that of LTE, </w:t>
      </w:r>
      <w:r>
        <w:rPr>
          <w:rFonts w:asciiTheme="minorHAnsi" w:hAnsiTheme="minorHAnsi"/>
          <w:color w:val="000000" w:themeColor="text1"/>
          <w:sz w:val="24"/>
        </w:rPr>
        <w:t xml:space="preserve">for reporting the CQI, the UE needs to use lookup table for example as in Table 1. </w:t>
      </w:r>
    </w:p>
    <w:p w:rsidR="00D234EA" w:rsidRPr="00CA3B47" w:rsidRDefault="00D234EA" w:rsidP="00D234EA">
      <w:pPr>
        <w:pStyle w:val="Caption"/>
        <w:keepNext/>
        <w:rPr>
          <w:b w:val="0"/>
        </w:rPr>
      </w:pPr>
      <w:r>
        <w:lastRenderedPageBreak/>
        <w:t xml:space="preserve">                                            </w:t>
      </w:r>
      <w:r w:rsidRPr="00CA3B47">
        <w:t xml:space="preserve">Table </w:t>
      </w:r>
      <w:fldSimple w:instr=" SEQ Table \* ARABIC ">
        <w:r>
          <w:rPr>
            <w:noProof/>
          </w:rPr>
          <w:t>1</w:t>
        </w:r>
      </w:fldSimple>
      <w:r w:rsidRPr="00CA3B47">
        <w:t xml:space="preserve">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D234EA" w:rsidRPr="00E9040D" w:rsidTr="006E55D1">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6E55D1">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6E55D1">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6E55D1">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6E55D1">
            <w:pPr>
              <w:pStyle w:val="TAH"/>
            </w:pPr>
            <w:r w:rsidRPr="00E9040D">
              <w:t>efficiency</w:t>
            </w:r>
          </w:p>
        </w:tc>
      </w:tr>
      <w:tr w:rsidR="00D234EA" w:rsidRPr="00E9040D" w:rsidTr="006E55D1">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out of range</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0.1523</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0.2344</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0.3770</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0.6016</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0.8770</w:t>
            </w:r>
          </w:p>
        </w:tc>
      </w:tr>
      <w:tr w:rsidR="00D234EA" w:rsidRPr="00E9040D" w:rsidTr="006E55D1">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Q</w:t>
            </w:r>
            <w:r w:rsidRPr="00E9040D">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1.1758</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1.4766</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1.9141</w:t>
            </w:r>
          </w:p>
        </w:tc>
      </w:tr>
      <w:tr w:rsidR="00D234EA" w:rsidRPr="00E9040D" w:rsidTr="006E55D1">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2.4063</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2.7305</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3.3223</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3.9023</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4.5234</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5.1152</w:t>
            </w:r>
          </w:p>
        </w:tc>
      </w:tr>
      <w:tr w:rsidR="00D234EA" w:rsidRPr="00E9040D" w:rsidTr="006E55D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6E55D1">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6E55D1">
            <w:pPr>
              <w:pStyle w:val="TAC"/>
            </w:pPr>
            <w:r w:rsidRPr="00E9040D">
              <w:t>5.5547</w:t>
            </w:r>
          </w:p>
        </w:tc>
      </w:tr>
    </w:tbl>
    <w:p w:rsidR="00D234EA" w:rsidRPr="00F864D6" w:rsidRDefault="00D234EA" w:rsidP="00D234EA">
      <w:pPr>
        <w:jc w:val="both"/>
        <w:rPr>
          <w:b/>
          <w:sz w:val="24"/>
          <w:szCs w:val="24"/>
          <w:lang w:val="en-GB"/>
        </w:rPr>
      </w:pPr>
    </w:p>
    <w:p w:rsidR="00D234EA" w:rsidRDefault="00D234EA" w:rsidP="00D234EA">
      <w:pPr>
        <w:jc w:val="both"/>
        <w:rPr>
          <w:rFonts w:asciiTheme="minorHAnsi" w:hAnsiTheme="minorHAnsi"/>
          <w:color w:val="000000" w:themeColor="text1"/>
          <w:sz w:val="24"/>
          <w:lang w:val="en-GB"/>
        </w:rPr>
      </w:pPr>
      <w:r>
        <w:rPr>
          <w:rFonts w:asciiTheme="minorHAnsi" w:hAnsiTheme="minorHAnsi"/>
          <w:color w:val="000000" w:themeColor="text1"/>
          <w:sz w:val="24"/>
          <w:lang w:val="en-GB"/>
        </w:rPr>
        <w:t xml:space="preserve">However, from simulations, we observed that fixing the CQI payload to 4 bits is not efficient. For example if a UE is at the cell edge, it may not use the modulation 16 QAM and 64 QAM. In this case, we can restrict the modulation schemes for that particular UE to QPSK and use less pay load size for CQI. </w:t>
      </w:r>
    </w:p>
    <w:p w:rsidR="00D234EA" w:rsidRDefault="00D234EA" w:rsidP="00D234EA">
      <w:pPr>
        <w:pStyle w:val="BodyText"/>
        <w:rPr>
          <w:sz w:val="24"/>
          <w:szCs w:val="24"/>
        </w:rPr>
      </w:pPr>
      <w:r>
        <w:rPr>
          <w:sz w:val="24"/>
          <w:szCs w:val="24"/>
        </w:rPr>
        <w:t>For example, Figure 2 shows the probability of choosing modulation (which corresponds to the CQI index) as function of downlink geometry or (long term SINR) for a NR system with 2 transmit antennas.  For link adaptation, the UE chooses a CQI index as shown in Table 1.</w:t>
      </w:r>
    </w:p>
    <w:p w:rsidR="00D234EA" w:rsidRDefault="00D234EA" w:rsidP="00D234EA">
      <w:pPr>
        <w:pStyle w:val="BodyText"/>
        <w:keepNext/>
      </w:pPr>
      <w:r>
        <w:rPr>
          <w:noProof/>
          <w:lang w:val="en-US" w:eastAsia="en-US"/>
        </w:rPr>
        <w:drawing>
          <wp:inline distT="0" distB="0" distL="0" distR="0" wp14:anchorId="13260E16" wp14:editId="35F717DE">
            <wp:extent cx="5332730" cy="394271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D234EA" w:rsidRPr="0097419F" w:rsidRDefault="00D234EA" w:rsidP="00D234EA">
      <w:pPr>
        <w:pStyle w:val="Caption"/>
        <w:rPr>
          <w:b w:val="0"/>
          <w:sz w:val="24"/>
          <w:szCs w:val="24"/>
        </w:rPr>
      </w:pPr>
      <w:r w:rsidRPr="0097419F">
        <w:t xml:space="preserve">Figure </w:t>
      </w:r>
      <w:r>
        <w:t xml:space="preserve">2 </w:t>
      </w:r>
      <w:r w:rsidRPr="0097419F">
        <w:t>Modulation probability as a function of geometry for  2Tx antennas</w:t>
      </w:r>
    </w:p>
    <w:p w:rsidR="00D234EA" w:rsidRDefault="00D234EA" w:rsidP="00D234EA">
      <w:pPr>
        <w:pStyle w:val="BodyText"/>
        <w:rPr>
          <w:sz w:val="24"/>
          <w:szCs w:val="24"/>
        </w:rPr>
      </w:pPr>
    </w:p>
    <w:p w:rsidR="00D234EA" w:rsidRDefault="00D234EA" w:rsidP="00D234EA">
      <w:pPr>
        <w:pStyle w:val="BodyText"/>
        <w:rPr>
          <w:sz w:val="24"/>
          <w:szCs w:val="24"/>
        </w:rPr>
      </w:pPr>
      <w:r>
        <w:rPr>
          <w:sz w:val="24"/>
          <w:szCs w:val="24"/>
        </w:rPr>
        <w:t>It can be observed that at low geometries, the probability of choosing QPSK modulation (hence a low CQI index) is very high. i.e. CQI indices 1-6 in Table 1. At medium geometries probability of choosing CQI indices corresponding to the 16-QAM, i.e 7-9 in Table 1 is higher , and at high geometries, the probability of choosing CQI entries corresponding to the 64-QAM is high.</w:t>
      </w:r>
    </w:p>
    <w:p w:rsidR="00D234EA" w:rsidRPr="00F864D6" w:rsidRDefault="00D234EA" w:rsidP="00D234EA">
      <w:pPr>
        <w:pStyle w:val="BodyText"/>
        <w:rPr>
          <w:sz w:val="24"/>
          <w:szCs w:val="24"/>
        </w:rPr>
      </w:pPr>
    </w:p>
    <w:p w:rsidR="00D234EA" w:rsidRDefault="00D234EA" w:rsidP="00D234EA">
      <w:pPr>
        <w:pStyle w:val="BodyText"/>
        <w:rPr>
          <w:sz w:val="24"/>
          <w:szCs w:val="24"/>
        </w:rPr>
      </w:pPr>
      <w:r>
        <w:rPr>
          <w:sz w:val="24"/>
          <w:szCs w:val="24"/>
        </w:rPr>
        <w:t>Figure 2 shows the probability of choosing modulation (which corresponds to the CQI index) as function of downlink geometry or (long term SINR) for NR system with 4 transmit antennas.  Similar to the 2Tx antenna case, we can draw same conclusion about the modulation probability vs. geometry.</w:t>
      </w:r>
    </w:p>
    <w:p w:rsidR="00D234EA" w:rsidRDefault="00D234EA" w:rsidP="00D234EA">
      <w:pPr>
        <w:pStyle w:val="BodyText"/>
        <w:keepNext/>
      </w:pPr>
      <w:r>
        <w:rPr>
          <w:noProof/>
          <w:lang w:val="en-US" w:eastAsia="en-US"/>
        </w:rPr>
        <w:drawing>
          <wp:inline distT="0" distB="0" distL="0" distR="0" wp14:anchorId="635B6A20" wp14:editId="45033C98">
            <wp:extent cx="5332730" cy="394271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D234EA" w:rsidRPr="0097419F" w:rsidRDefault="00D234EA" w:rsidP="00D234EA">
      <w:pPr>
        <w:pStyle w:val="Caption"/>
        <w:rPr>
          <w:b w:val="0"/>
          <w:sz w:val="24"/>
          <w:szCs w:val="24"/>
        </w:rPr>
      </w:pPr>
      <w:r w:rsidRPr="0097419F">
        <w:t xml:space="preserve">Figure </w:t>
      </w:r>
      <w:r>
        <w:t>3</w:t>
      </w:r>
      <w:r w:rsidRPr="0097419F">
        <w:t xml:space="preserve"> </w:t>
      </w:r>
      <w:r>
        <w:t xml:space="preserve">Modulation </w:t>
      </w:r>
      <w:r w:rsidRPr="0097419F">
        <w:t>probability as a function of geometry for 4Tx antennas</w:t>
      </w:r>
    </w:p>
    <w:p w:rsidR="00D234EA" w:rsidRDefault="00D234EA" w:rsidP="00D234EA">
      <w:pPr>
        <w:jc w:val="both"/>
        <w:rPr>
          <w:b/>
          <w:sz w:val="24"/>
          <w:szCs w:val="24"/>
        </w:rPr>
      </w:pPr>
    </w:p>
    <w:p w:rsidR="00D234EA" w:rsidRDefault="00D234EA" w:rsidP="00D234EA">
      <w:pPr>
        <w:pStyle w:val="BodyText"/>
        <w:rPr>
          <w:sz w:val="24"/>
          <w:szCs w:val="24"/>
        </w:rPr>
      </w:pPr>
      <w:r w:rsidRPr="00F864D6">
        <w:rPr>
          <w:sz w:val="24"/>
          <w:szCs w:val="24"/>
        </w:rPr>
        <w:t>Based on the above results, instead of using feedback channel (conventional) with 4 bits of CQI, g</w:t>
      </w:r>
      <w:r>
        <w:rPr>
          <w:sz w:val="24"/>
          <w:szCs w:val="24"/>
        </w:rPr>
        <w:t>NB can restrict a particular</w:t>
      </w:r>
      <w:r w:rsidRPr="00F864D6">
        <w:rPr>
          <w:sz w:val="24"/>
          <w:szCs w:val="24"/>
        </w:rPr>
        <w:t xml:space="preserve"> UE to choose only a subset of CQI indices, thereby reducing the number of bits to represent the CQI. Hence the UE can send a compact feedback for transmitting CSI. </w:t>
      </w:r>
    </w:p>
    <w:p w:rsidR="00D234EA" w:rsidRPr="00F864D6" w:rsidRDefault="00D234EA" w:rsidP="00D234EA">
      <w:pPr>
        <w:pStyle w:val="BodyText"/>
        <w:rPr>
          <w:sz w:val="24"/>
          <w:szCs w:val="24"/>
        </w:rPr>
      </w:pPr>
      <w:r>
        <w:rPr>
          <w:sz w:val="24"/>
          <w:szCs w:val="24"/>
        </w:rPr>
        <w:t>Similar procedures can be used to restrict the MCS for downlink control channel. Based on above observation, we propose</w:t>
      </w:r>
    </w:p>
    <w:p w:rsidR="00D234EA" w:rsidRDefault="00D234EA" w:rsidP="00D234EA">
      <w:pPr>
        <w:jc w:val="both"/>
        <w:rPr>
          <w:b/>
          <w:sz w:val="24"/>
          <w:szCs w:val="24"/>
        </w:rPr>
      </w:pPr>
      <w:r>
        <w:rPr>
          <w:b/>
          <w:sz w:val="24"/>
          <w:szCs w:val="24"/>
        </w:rPr>
        <w:t>Proposal 7</w:t>
      </w:r>
      <w:r w:rsidRPr="005C1BF7">
        <w:rPr>
          <w:b/>
          <w:sz w:val="24"/>
          <w:szCs w:val="24"/>
        </w:rPr>
        <w:t xml:space="preserve">: </w:t>
      </w:r>
      <w:r>
        <w:rPr>
          <w:b/>
          <w:sz w:val="24"/>
          <w:szCs w:val="24"/>
        </w:rPr>
        <w:t xml:space="preserve"> UE specific adaptive CQI/MCS pay load sizes should be taken into consideration when indicating CQI and MCS </w:t>
      </w:r>
    </w:p>
    <w:p w:rsidR="009C0834" w:rsidRPr="00D234EA" w:rsidRDefault="009C0834" w:rsidP="009C0834"/>
    <w:p w:rsidR="009C0834" w:rsidRPr="009C0834" w:rsidRDefault="009C0834" w:rsidP="009C0834">
      <w:pPr>
        <w:rPr>
          <w:lang w:val="en-GB"/>
        </w:rPr>
      </w:pPr>
    </w:p>
    <w:p w:rsidR="000462AB" w:rsidRDefault="000462AB" w:rsidP="005C7FD4">
      <w:pPr>
        <w:rPr>
          <w:b/>
          <w:sz w:val="24"/>
          <w:szCs w:val="24"/>
        </w:rPr>
      </w:pPr>
    </w:p>
    <w:p w:rsidR="006E7E37" w:rsidRDefault="00152AB0" w:rsidP="000118EB">
      <w:pPr>
        <w:jc w:val="both"/>
        <w:rPr>
          <w:b/>
          <w:sz w:val="24"/>
          <w:szCs w:val="24"/>
        </w:rPr>
      </w:pPr>
      <w:r>
        <w:rPr>
          <w:b/>
          <w:sz w:val="24"/>
          <w:szCs w:val="24"/>
        </w:rPr>
        <w:t xml:space="preserve"> </w:t>
      </w: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described our 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D234EA" w:rsidRDefault="00D234EA" w:rsidP="00D234EA">
      <w:pPr>
        <w:jc w:val="both"/>
        <w:rPr>
          <w:b/>
          <w:sz w:val="24"/>
          <w:szCs w:val="24"/>
        </w:rPr>
      </w:pPr>
      <w:r>
        <w:rPr>
          <w:b/>
          <w:sz w:val="24"/>
          <w:szCs w:val="24"/>
        </w:rPr>
        <w:t>Proposal 1</w:t>
      </w:r>
      <w:r w:rsidRPr="005C1BF7">
        <w:rPr>
          <w:b/>
          <w:sz w:val="24"/>
          <w:szCs w:val="24"/>
        </w:rPr>
        <w:t xml:space="preserve">: </w:t>
      </w:r>
      <w:r>
        <w:rPr>
          <w:b/>
          <w:sz w:val="24"/>
          <w:szCs w:val="24"/>
        </w:rPr>
        <w:t xml:space="preserve"> At least for eMBB applications, UE can be configured with either CQI Table 1 or CQI Table 2, where the CQI table 1 is corresponding to the maximum modulation of 64 QAM and the CQI table 2 corresponds to the maximum modulation of 256 QAM</w:t>
      </w:r>
    </w:p>
    <w:p w:rsidR="00D234EA" w:rsidRDefault="00D234EA" w:rsidP="00D234EA">
      <w:pPr>
        <w:rPr>
          <w:b/>
          <w:sz w:val="24"/>
          <w:szCs w:val="24"/>
        </w:rPr>
      </w:pPr>
      <w:r>
        <w:rPr>
          <w:b/>
          <w:sz w:val="24"/>
          <w:szCs w:val="24"/>
        </w:rPr>
        <w:t>Proposal 2</w:t>
      </w:r>
      <w:r w:rsidRPr="005C1BF7">
        <w:rPr>
          <w:b/>
          <w:sz w:val="24"/>
          <w:szCs w:val="24"/>
        </w:rPr>
        <w:t xml:space="preserve">: </w:t>
      </w:r>
      <w:r>
        <w:rPr>
          <w:b/>
          <w:sz w:val="24"/>
          <w:szCs w:val="24"/>
        </w:rPr>
        <w:t xml:space="preserve"> The minimum code rate of CQI Tables can be different </w:t>
      </w:r>
    </w:p>
    <w:p w:rsidR="00D234EA" w:rsidRDefault="00D234EA" w:rsidP="00D234EA">
      <w:pPr>
        <w:rPr>
          <w:b/>
          <w:sz w:val="24"/>
          <w:szCs w:val="24"/>
        </w:rPr>
      </w:pPr>
      <w:r>
        <w:rPr>
          <w:b/>
          <w:sz w:val="24"/>
          <w:szCs w:val="24"/>
        </w:rPr>
        <w:t>Proposal 3</w:t>
      </w:r>
      <w:r w:rsidRPr="005C1BF7">
        <w:rPr>
          <w:b/>
          <w:sz w:val="24"/>
          <w:szCs w:val="24"/>
        </w:rPr>
        <w:t xml:space="preserve">: </w:t>
      </w:r>
      <w:r>
        <w:rPr>
          <w:b/>
          <w:sz w:val="24"/>
          <w:szCs w:val="24"/>
        </w:rPr>
        <w:t xml:space="preserve"> The NR CQI definition is same as that of LTE CQI definition</w:t>
      </w:r>
    </w:p>
    <w:p w:rsidR="00D234EA" w:rsidRDefault="00D234EA" w:rsidP="00D234EA">
      <w:pPr>
        <w:rPr>
          <w:b/>
          <w:sz w:val="24"/>
          <w:szCs w:val="24"/>
        </w:rPr>
      </w:pPr>
      <w:bookmarkStart w:id="10" w:name="_Ref450342757"/>
      <w:bookmarkEnd w:id="3"/>
      <w:r>
        <w:rPr>
          <w:b/>
          <w:sz w:val="24"/>
          <w:szCs w:val="24"/>
        </w:rPr>
        <w:t>Proposal 4</w:t>
      </w:r>
      <w:r w:rsidRPr="005C1BF7">
        <w:rPr>
          <w:b/>
          <w:sz w:val="24"/>
          <w:szCs w:val="24"/>
        </w:rPr>
        <w:t xml:space="preserve">: </w:t>
      </w:r>
      <w:r>
        <w:rPr>
          <w:b/>
          <w:sz w:val="24"/>
          <w:szCs w:val="24"/>
        </w:rPr>
        <w:t xml:space="preserve"> Independent encoding of two CQIs is preferred for multi codeword MIMO </w:t>
      </w:r>
    </w:p>
    <w:p w:rsidR="00D234EA" w:rsidRDefault="00D234EA" w:rsidP="00D234EA">
      <w:pPr>
        <w:jc w:val="both"/>
        <w:rPr>
          <w:b/>
          <w:sz w:val="24"/>
          <w:szCs w:val="24"/>
        </w:rPr>
      </w:pPr>
      <w:r>
        <w:rPr>
          <w:b/>
          <w:sz w:val="24"/>
          <w:szCs w:val="24"/>
        </w:rPr>
        <w:t>Proposal 5</w:t>
      </w:r>
      <w:r w:rsidRPr="005C1BF7">
        <w:rPr>
          <w:b/>
          <w:sz w:val="24"/>
          <w:szCs w:val="24"/>
        </w:rPr>
        <w:t xml:space="preserve">: </w:t>
      </w:r>
      <w:r>
        <w:rPr>
          <w:b/>
          <w:sz w:val="24"/>
          <w:szCs w:val="24"/>
        </w:rPr>
        <w:t xml:space="preserve"> Joint encoding of waveform selection and MCS entries is preferred in the uplink DCI </w:t>
      </w:r>
    </w:p>
    <w:p w:rsidR="00D234EA" w:rsidRDefault="00D234EA" w:rsidP="00D234EA">
      <w:pPr>
        <w:jc w:val="both"/>
        <w:rPr>
          <w:b/>
          <w:sz w:val="24"/>
          <w:szCs w:val="24"/>
        </w:rPr>
      </w:pPr>
      <w:r>
        <w:rPr>
          <w:b/>
          <w:sz w:val="24"/>
          <w:szCs w:val="24"/>
        </w:rPr>
        <w:t>Proposal 6</w:t>
      </w:r>
      <w:r w:rsidRPr="005C1BF7">
        <w:rPr>
          <w:b/>
          <w:sz w:val="24"/>
          <w:szCs w:val="24"/>
        </w:rPr>
        <w:t xml:space="preserve">: </w:t>
      </w:r>
      <w:r>
        <w:rPr>
          <w:b/>
          <w:sz w:val="24"/>
          <w:szCs w:val="24"/>
        </w:rPr>
        <w:t xml:space="preserve"> MCS tables for uplink and downlink can be different </w:t>
      </w:r>
    </w:p>
    <w:p w:rsidR="00152AB0" w:rsidRDefault="00E240E0" w:rsidP="00152AB0">
      <w:pPr>
        <w:jc w:val="both"/>
        <w:rPr>
          <w:b/>
          <w:sz w:val="24"/>
          <w:szCs w:val="24"/>
        </w:rPr>
      </w:pPr>
      <w:r>
        <w:rPr>
          <w:b/>
          <w:sz w:val="24"/>
          <w:szCs w:val="24"/>
        </w:rPr>
        <w:t>Proposal</w:t>
      </w:r>
      <w:r w:rsidR="00D234EA">
        <w:rPr>
          <w:b/>
          <w:sz w:val="24"/>
          <w:szCs w:val="24"/>
        </w:rPr>
        <w:t xml:space="preserve"> 7</w:t>
      </w:r>
      <w:r w:rsidR="00152AB0" w:rsidRPr="005C1BF7">
        <w:rPr>
          <w:b/>
          <w:sz w:val="24"/>
          <w:szCs w:val="24"/>
        </w:rPr>
        <w:t xml:space="preserve">: </w:t>
      </w:r>
      <w:r w:rsidR="00152AB0">
        <w:rPr>
          <w:b/>
          <w:sz w:val="24"/>
          <w:szCs w:val="24"/>
        </w:rPr>
        <w:t xml:space="preserve"> UE specific adaptive CQI/MCS pay load sizes should be taken into consideration when indicating CQI and MCS </w:t>
      </w:r>
    </w:p>
    <w:p w:rsidR="002C3FBB" w:rsidRDefault="002C3FBB" w:rsidP="002C3FBB">
      <w:pPr>
        <w:pStyle w:val="Heading1"/>
      </w:pPr>
      <w:r>
        <w:t>References</w:t>
      </w:r>
    </w:p>
    <w:p w:rsidR="002C3FBB" w:rsidRDefault="002C3FBB" w:rsidP="002C3FBB">
      <w:pPr>
        <w:jc w:val="both"/>
        <w:rPr>
          <w:sz w:val="24"/>
          <w:szCs w:val="24"/>
          <w:lang w:val="en-GB"/>
        </w:rPr>
      </w:pPr>
      <w:r>
        <w:rPr>
          <w:sz w:val="24"/>
          <w:szCs w:val="24"/>
          <w:lang w:val="en-GB"/>
        </w:rPr>
        <w:t xml:space="preserve">[1]. TS 38.211 </w:t>
      </w:r>
    </w:p>
    <w:p w:rsidR="00D23892" w:rsidRDefault="00D23892" w:rsidP="00D23892">
      <w:pPr>
        <w:tabs>
          <w:tab w:val="left" w:pos="3548"/>
        </w:tabs>
        <w:rPr>
          <w:b/>
          <w:sz w:val="24"/>
          <w:szCs w:val="24"/>
        </w:rPr>
      </w:pPr>
      <w:bookmarkStart w:id="11" w:name="_GoBack"/>
      <w:bookmarkEnd w:id="11"/>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01C" w:rsidRDefault="0059501C" w:rsidP="00A03DF3">
      <w:pPr>
        <w:spacing w:after="0"/>
      </w:pPr>
      <w:r>
        <w:separator/>
      </w:r>
    </w:p>
  </w:endnote>
  <w:endnote w:type="continuationSeparator" w:id="0">
    <w:p w:rsidR="0059501C" w:rsidRDefault="0059501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C3FB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3FBB">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01C" w:rsidRDefault="0059501C" w:rsidP="00A03DF3">
      <w:pPr>
        <w:spacing w:after="0"/>
      </w:pPr>
      <w:r>
        <w:separator/>
      </w:r>
    </w:p>
  </w:footnote>
  <w:footnote w:type="continuationSeparator" w:id="0">
    <w:p w:rsidR="0059501C" w:rsidRDefault="0059501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11"/>
  </w:num>
  <w:num w:numId="8">
    <w:abstractNumId w:val="14"/>
  </w:num>
  <w:num w:numId="9">
    <w:abstractNumId w:val="7"/>
  </w:num>
  <w:num w:numId="10">
    <w:abstractNumId w:val="10"/>
  </w:num>
  <w:num w:numId="11">
    <w:abstractNumId w:val="8"/>
  </w:num>
  <w:num w:numId="12">
    <w:abstractNumId w:val="15"/>
  </w:num>
  <w:num w:numId="13">
    <w:abstractNumId w:val="9"/>
  </w:num>
  <w:num w:numId="14">
    <w:abstractNumId w:val="12"/>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623"/>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362A"/>
    <w:rsid w:val="001C0C74"/>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F500A"/>
    <w:rsid w:val="002F70E1"/>
    <w:rsid w:val="00304012"/>
    <w:rsid w:val="003109E6"/>
    <w:rsid w:val="003149D8"/>
    <w:rsid w:val="00316418"/>
    <w:rsid w:val="00334E9F"/>
    <w:rsid w:val="00341D34"/>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9501C"/>
    <w:rsid w:val="005A32B5"/>
    <w:rsid w:val="005C1BF7"/>
    <w:rsid w:val="005C7FD4"/>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75879"/>
    <w:rsid w:val="00680F31"/>
    <w:rsid w:val="00690312"/>
    <w:rsid w:val="00691783"/>
    <w:rsid w:val="006A4ACB"/>
    <w:rsid w:val="006A53E5"/>
    <w:rsid w:val="006A5DD2"/>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0FD9"/>
    <w:rsid w:val="007A4702"/>
    <w:rsid w:val="007A6469"/>
    <w:rsid w:val="007A7857"/>
    <w:rsid w:val="007B3085"/>
    <w:rsid w:val="007B3DE9"/>
    <w:rsid w:val="007B574D"/>
    <w:rsid w:val="007B6F7A"/>
    <w:rsid w:val="007C1666"/>
    <w:rsid w:val="007C274D"/>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6586"/>
    <w:rsid w:val="008A70D6"/>
    <w:rsid w:val="008A7C64"/>
    <w:rsid w:val="008B7E92"/>
    <w:rsid w:val="008C4C93"/>
    <w:rsid w:val="008C5528"/>
    <w:rsid w:val="008C7323"/>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834"/>
    <w:rsid w:val="009C0E95"/>
    <w:rsid w:val="009F4239"/>
    <w:rsid w:val="00A03DF3"/>
    <w:rsid w:val="00A13339"/>
    <w:rsid w:val="00A36F7A"/>
    <w:rsid w:val="00A42970"/>
    <w:rsid w:val="00A45013"/>
    <w:rsid w:val="00A45CAD"/>
    <w:rsid w:val="00A462B3"/>
    <w:rsid w:val="00A46AEB"/>
    <w:rsid w:val="00A50E1C"/>
    <w:rsid w:val="00A706A9"/>
    <w:rsid w:val="00A715E7"/>
    <w:rsid w:val="00A76BE5"/>
    <w:rsid w:val="00A9069C"/>
    <w:rsid w:val="00A959CD"/>
    <w:rsid w:val="00A970DF"/>
    <w:rsid w:val="00AA3B23"/>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5C08"/>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4CBA"/>
    <w:rsid w:val="00BC6517"/>
    <w:rsid w:val="00BE32F5"/>
    <w:rsid w:val="00BF2B2D"/>
    <w:rsid w:val="00C00A29"/>
    <w:rsid w:val="00C112D0"/>
    <w:rsid w:val="00C152E3"/>
    <w:rsid w:val="00C1607A"/>
    <w:rsid w:val="00C31268"/>
    <w:rsid w:val="00C31810"/>
    <w:rsid w:val="00C37073"/>
    <w:rsid w:val="00C46670"/>
    <w:rsid w:val="00C50D06"/>
    <w:rsid w:val="00C532A5"/>
    <w:rsid w:val="00C54E0C"/>
    <w:rsid w:val="00C9597D"/>
    <w:rsid w:val="00CA0134"/>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81AE8"/>
    <w:rsid w:val="00D913DA"/>
    <w:rsid w:val="00DA14A6"/>
    <w:rsid w:val="00DA67F5"/>
    <w:rsid w:val="00DA7B6D"/>
    <w:rsid w:val="00DB432F"/>
    <w:rsid w:val="00DB6035"/>
    <w:rsid w:val="00DC29F0"/>
    <w:rsid w:val="00DE5572"/>
    <w:rsid w:val="00DF21E7"/>
    <w:rsid w:val="00DF7C58"/>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C7A08"/>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A3F5E-79BD-4DFE-8C26-F8CCF5F9A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4737</TotalTime>
  <Pages>7</Pages>
  <Words>1486</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411</cp:revision>
  <dcterms:created xsi:type="dcterms:W3CDTF">2016-08-12T11:37:00Z</dcterms:created>
  <dcterms:modified xsi:type="dcterms:W3CDTF">2017-10-02T17:32:00Z</dcterms:modified>
</cp:coreProperties>
</file>